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50905" w14:textId="77777777" w:rsidR="008B1599" w:rsidRPr="00CE1197" w:rsidRDefault="008B1599" w:rsidP="008B1599">
      <w:pPr>
        <w:rPr>
          <w:rFonts w:cs="Times New Roman"/>
        </w:rPr>
      </w:pPr>
      <w:bookmarkStart w:id="0" w:name="_GoBack"/>
      <w:bookmarkEnd w:id="0"/>
      <w:r>
        <w:rPr>
          <w:noProof/>
          <w:lang w:val="en-US" w:eastAsia="en-US"/>
        </w:rPr>
        <w:drawing>
          <wp:anchor distT="0" distB="0" distL="114300" distR="114300" simplePos="0" relativeHeight="251656192" behindDoc="0" locked="0" layoutInCell="1" allowOverlap="1" wp14:anchorId="20D3E562" wp14:editId="42D437E4">
            <wp:simplePos x="0" y="0"/>
            <wp:positionH relativeFrom="margin">
              <wp:align>right</wp:align>
            </wp:positionH>
            <wp:positionV relativeFrom="paragraph">
              <wp:posOffset>7620</wp:posOffset>
            </wp:positionV>
            <wp:extent cx="1492885" cy="661035"/>
            <wp:effectExtent l="0" t="0" r="0" b="5715"/>
            <wp:wrapThrough wrapText="bothSides">
              <wp:wrapPolygon edited="0">
                <wp:start x="2756" y="0"/>
                <wp:lineTo x="0" y="3112"/>
                <wp:lineTo x="0" y="13072"/>
                <wp:lineTo x="2756" y="19919"/>
                <wp:lineTo x="3583" y="21164"/>
                <wp:lineTo x="6615" y="21164"/>
                <wp:lineTo x="7166" y="19919"/>
                <wp:lineTo x="21223" y="16807"/>
                <wp:lineTo x="21223" y="7470"/>
                <wp:lineTo x="15435" y="3735"/>
                <wp:lineTo x="7166" y="0"/>
                <wp:lineTo x="275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2885" cy="661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1197">
        <w:rPr>
          <w:rFonts w:cs="Times New Roman"/>
        </w:rPr>
        <w:t xml:space="preserve">Asian Infrastructure </w:t>
      </w:r>
      <w:r>
        <w:rPr>
          <w:rFonts w:cs="Times New Roman"/>
        </w:rPr>
        <w:t xml:space="preserve">Investment </w:t>
      </w:r>
      <w:r w:rsidRPr="00CE1197">
        <w:rPr>
          <w:rFonts w:cs="Times New Roman"/>
        </w:rPr>
        <w:t>Bank</w:t>
      </w:r>
    </w:p>
    <w:p w14:paraId="2F77E6C0" w14:textId="77777777" w:rsidR="008B1599" w:rsidRPr="00CE1197" w:rsidRDefault="008B1599" w:rsidP="008B1599">
      <w:pPr>
        <w:rPr>
          <w:rFonts w:cs="Times New Roman"/>
        </w:rPr>
      </w:pPr>
      <w:r w:rsidRPr="00CE1197">
        <w:rPr>
          <w:rFonts w:cs="Times New Roman"/>
        </w:rPr>
        <w:t>9 Financial Street</w:t>
      </w:r>
    </w:p>
    <w:p w14:paraId="25DC16D0" w14:textId="77777777" w:rsidR="008B1599" w:rsidRPr="00CE1197" w:rsidRDefault="008B1599" w:rsidP="008B1599">
      <w:pPr>
        <w:rPr>
          <w:rFonts w:cs="Times New Roman"/>
        </w:rPr>
      </w:pPr>
      <w:r w:rsidRPr="00CE1197">
        <w:rPr>
          <w:rFonts w:cs="Times New Roman"/>
        </w:rPr>
        <w:t>Xicheng District</w:t>
      </w:r>
    </w:p>
    <w:p w14:paraId="0763F2D9" w14:textId="77777777" w:rsidR="008B1599" w:rsidRPr="00CE1197" w:rsidRDefault="008B1599" w:rsidP="008B1599">
      <w:pPr>
        <w:rPr>
          <w:rFonts w:cs="Times New Roman"/>
        </w:rPr>
      </w:pPr>
      <w:r w:rsidRPr="00CE1197">
        <w:rPr>
          <w:rFonts w:cs="Times New Roman"/>
        </w:rPr>
        <w:t>Beijing</w:t>
      </w:r>
    </w:p>
    <w:p w14:paraId="206814AC" w14:textId="77777777" w:rsidR="008B1599" w:rsidRPr="00CE1197" w:rsidRDefault="008B1599" w:rsidP="008B1599">
      <w:pPr>
        <w:rPr>
          <w:rFonts w:cs="Times New Roman"/>
        </w:rPr>
      </w:pPr>
      <w:r w:rsidRPr="00CE1197">
        <w:rPr>
          <w:rFonts w:cs="Times New Roman"/>
        </w:rPr>
        <w:t>People’s Republic of China</w:t>
      </w:r>
    </w:p>
    <w:p w14:paraId="1AE7CB4E" w14:textId="77777777" w:rsidR="00603D17" w:rsidRPr="00C1604B" w:rsidRDefault="00700C7F" w:rsidP="00603D17">
      <w:hyperlink r:id="rId9" w:history="1">
        <w:r w:rsidR="00603D17" w:rsidRPr="00C1604B">
          <w:rPr>
            <w:rStyle w:val="Hyperlink"/>
          </w:rPr>
          <w:t>esfreview@aiib.org</w:t>
        </w:r>
      </w:hyperlink>
    </w:p>
    <w:p w14:paraId="66CD87CC" w14:textId="77777777" w:rsidR="008B1599" w:rsidRPr="00CE1197" w:rsidRDefault="008B1599" w:rsidP="008B1599">
      <w:pPr>
        <w:rPr>
          <w:rFonts w:cs="Times New Roman"/>
        </w:rPr>
      </w:pPr>
    </w:p>
    <w:p w14:paraId="75DF9A3D" w14:textId="0D668382" w:rsidR="008B1599" w:rsidRPr="00CE1197" w:rsidRDefault="00603D17" w:rsidP="008B1599">
      <w:pPr>
        <w:rPr>
          <w:rFonts w:cs="Times New Roman"/>
        </w:rPr>
      </w:pPr>
      <w:r>
        <w:rPr>
          <w:rFonts w:cs="Times New Roman"/>
        </w:rPr>
        <w:t>28 February</w:t>
      </w:r>
      <w:r w:rsidR="008B1599" w:rsidRPr="00CE1197">
        <w:rPr>
          <w:rFonts w:cs="Times New Roman"/>
        </w:rPr>
        <w:t xml:space="preserve"> 20</w:t>
      </w:r>
      <w:r>
        <w:rPr>
          <w:rFonts w:cs="Times New Roman"/>
        </w:rPr>
        <w:t>20</w:t>
      </w:r>
    </w:p>
    <w:p w14:paraId="1E2CFD0A" w14:textId="77777777" w:rsidR="008B1599" w:rsidRPr="00CE1197" w:rsidRDefault="008B1599" w:rsidP="008B1599">
      <w:pPr>
        <w:rPr>
          <w:rFonts w:cs="Times New Roman"/>
        </w:rPr>
      </w:pPr>
    </w:p>
    <w:p w14:paraId="4A3F2F49" w14:textId="77777777" w:rsidR="00603D17" w:rsidRPr="00603D17" w:rsidRDefault="00603D17" w:rsidP="00603D17">
      <w:pPr>
        <w:rPr>
          <w:b/>
          <w:bCs/>
        </w:rPr>
      </w:pPr>
      <w:r w:rsidRPr="00603D17">
        <w:rPr>
          <w:b/>
          <w:bCs/>
        </w:rPr>
        <w:t>Subject: Submission - ESF Review</w:t>
      </w:r>
    </w:p>
    <w:p w14:paraId="382BD5B8" w14:textId="77777777" w:rsidR="008B1599" w:rsidRPr="00CE1197" w:rsidRDefault="008B1599" w:rsidP="008B1599">
      <w:pPr>
        <w:rPr>
          <w:rFonts w:cs="Times New Roman"/>
        </w:rPr>
      </w:pPr>
    </w:p>
    <w:p w14:paraId="04B2D8C7" w14:textId="203CCD3C" w:rsidR="008B1599" w:rsidRPr="00CE1197" w:rsidRDefault="008B1599" w:rsidP="008B1599">
      <w:pPr>
        <w:rPr>
          <w:rFonts w:cs="Times New Roman"/>
        </w:rPr>
      </w:pPr>
      <w:r w:rsidRPr="00CE1197">
        <w:rPr>
          <w:rFonts w:cs="Times New Roman"/>
        </w:rPr>
        <w:t xml:space="preserve">Dear </w:t>
      </w:r>
      <w:proofErr w:type="gramStart"/>
      <w:r w:rsidRPr="00CE1197">
        <w:rPr>
          <w:rFonts w:cs="Times New Roman"/>
        </w:rPr>
        <w:t>President</w:t>
      </w:r>
      <w:proofErr w:type="gramEnd"/>
      <w:r w:rsidRPr="00CE1197">
        <w:rPr>
          <w:rFonts w:cs="Times New Roman"/>
        </w:rPr>
        <w:t xml:space="preserve"> </w:t>
      </w:r>
      <w:proofErr w:type="spellStart"/>
      <w:r w:rsidRPr="00CE1197">
        <w:rPr>
          <w:rFonts w:cs="Times New Roman"/>
        </w:rPr>
        <w:t>Jin</w:t>
      </w:r>
      <w:proofErr w:type="spellEnd"/>
      <w:r w:rsidRPr="00CE1197">
        <w:rPr>
          <w:rFonts w:cs="Times New Roman"/>
        </w:rPr>
        <w:t>,</w:t>
      </w:r>
    </w:p>
    <w:p w14:paraId="5C32F11B" w14:textId="77777777" w:rsidR="008B1599" w:rsidRPr="00CE1197" w:rsidRDefault="008B1599" w:rsidP="00FF0C6C">
      <w:pPr>
        <w:jc w:val="both"/>
        <w:rPr>
          <w:rFonts w:cs="Times New Roman"/>
        </w:rPr>
      </w:pPr>
    </w:p>
    <w:p w14:paraId="29587619" w14:textId="62B6A5AE" w:rsidR="008B1599" w:rsidRDefault="008B1599" w:rsidP="00FF0C6C">
      <w:pPr>
        <w:jc w:val="both"/>
        <w:rPr>
          <w:rFonts w:cs="Times New Roman"/>
        </w:rPr>
      </w:pPr>
      <w:r>
        <w:rPr>
          <w:rFonts w:cs="Times New Roman"/>
        </w:rPr>
        <w:t xml:space="preserve">Please find attached comments from Inclusive Development International (IDI) on the </w:t>
      </w:r>
      <w:r w:rsidR="00A005AC">
        <w:rPr>
          <w:rFonts w:cs="Times New Roman"/>
        </w:rPr>
        <w:t xml:space="preserve">review </w:t>
      </w:r>
      <w:r w:rsidR="00C52F2A">
        <w:rPr>
          <w:rFonts w:cs="Times New Roman"/>
        </w:rPr>
        <w:t xml:space="preserve">of the </w:t>
      </w:r>
      <w:r>
        <w:rPr>
          <w:rFonts w:cs="Times New Roman"/>
        </w:rPr>
        <w:t>Environmental and Social Framework of the Asian Infrastructure Investment Bank.</w:t>
      </w:r>
    </w:p>
    <w:p w14:paraId="41B75607" w14:textId="77777777" w:rsidR="008B1599" w:rsidRDefault="008B1599" w:rsidP="00FF0C6C">
      <w:pPr>
        <w:jc w:val="both"/>
        <w:rPr>
          <w:rFonts w:cs="Times New Roman"/>
        </w:rPr>
      </w:pPr>
    </w:p>
    <w:p w14:paraId="316C262E" w14:textId="40C639CC" w:rsidR="008B1599" w:rsidRDefault="008B1599" w:rsidP="00B4035D">
      <w:pPr>
        <w:jc w:val="both"/>
        <w:rPr>
          <w:rFonts w:cs="Times New Roman"/>
        </w:rPr>
      </w:pPr>
      <w:r>
        <w:rPr>
          <w:rFonts w:cs="Times New Roman"/>
        </w:rPr>
        <w:t xml:space="preserve">We trust that </w:t>
      </w:r>
      <w:r w:rsidR="003F14C1">
        <w:rPr>
          <w:rFonts w:cs="Times New Roman"/>
        </w:rPr>
        <w:t>the AIIB</w:t>
      </w:r>
      <w:r>
        <w:rPr>
          <w:rFonts w:cs="Times New Roman"/>
        </w:rPr>
        <w:t xml:space="preserve"> will give careful consideration to our comments </w:t>
      </w:r>
      <w:r w:rsidR="009A02AE">
        <w:rPr>
          <w:rFonts w:cs="Times New Roman"/>
        </w:rPr>
        <w:t xml:space="preserve">along with </w:t>
      </w:r>
      <w:r w:rsidR="002F4AF7">
        <w:rPr>
          <w:rFonts w:cs="Times New Roman"/>
        </w:rPr>
        <w:t xml:space="preserve">those of </w:t>
      </w:r>
      <w:r w:rsidR="009A02AE">
        <w:rPr>
          <w:rFonts w:cs="Times New Roman"/>
        </w:rPr>
        <w:t xml:space="preserve">other </w:t>
      </w:r>
      <w:r w:rsidR="007340CD">
        <w:rPr>
          <w:rFonts w:cs="Times New Roman"/>
        </w:rPr>
        <w:t>civil society</w:t>
      </w:r>
      <w:r w:rsidR="009A02AE">
        <w:rPr>
          <w:rFonts w:cs="Times New Roman"/>
        </w:rPr>
        <w:t xml:space="preserve"> </w:t>
      </w:r>
      <w:proofErr w:type="gramStart"/>
      <w:r w:rsidR="009A02AE">
        <w:rPr>
          <w:rFonts w:cs="Times New Roman"/>
        </w:rPr>
        <w:t>organizations</w:t>
      </w:r>
      <w:r w:rsidR="007340CD">
        <w:rPr>
          <w:rFonts w:cs="Times New Roman"/>
        </w:rPr>
        <w:t xml:space="preserve">, </w:t>
      </w:r>
      <w:r w:rsidR="009A02AE">
        <w:rPr>
          <w:rFonts w:cs="Times New Roman"/>
        </w:rPr>
        <w:t>and</w:t>
      </w:r>
      <w:proofErr w:type="gramEnd"/>
      <w:r w:rsidR="009A02AE">
        <w:rPr>
          <w:rFonts w:cs="Times New Roman"/>
        </w:rPr>
        <w:t xml:space="preserve"> </w:t>
      </w:r>
      <w:r w:rsidR="00FF0C6C">
        <w:rPr>
          <w:rFonts w:cs="Times New Roman"/>
        </w:rPr>
        <w:t xml:space="preserve">draw </w:t>
      </w:r>
      <w:r w:rsidR="00302F7D">
        <w:rPr>
          <w:rFonts w:cs="Times New Roman"/>
        </w:rPr>
        <w:t>up</w:t>
      </w:r>
      <w:r w:rsidR="00FF0C6C">
        <w:rPr>
          <w:rFonts w:cs="Times New Roman"/>
        </w:rPr>
        <w:t>on</w:t>
      </w:r>
      <w:r w:rsidR="00302F7D">
        <w:rPr>
          <w:rFonts w:cs="Times New Roman"/>
        </w:rPr>
        <w:t xml:space="preserve"> and incorporate </w:t>
      </w:r>
      <w:r w:rsidR="00FF0C6C">
        <w:rPr>
          <w:rFonts w:cs="Times New Roman"/>
        </w:rPr>
        <w:t xml:space="preserve">these </w:t>
      </w:r>
      <w:r w:rsidR="009A02AE">
        <w:rPr>
          <w:rFonts w:cs="Times New Roman"/>
        </w:rPr>
        <w:t xml:space="preserve">recommendations </w:t>
      </w:r>
      <w:r w:rsidR="00302F7D">
        <w:rPr>
          <w:rFonts w:cs="Times New Roman"/>
        </w:rPr>
        <w:t xml:space="preserve">into the </w:t>
      </w:r>
      <w:r w:rsidR="00265A92">
        <w:rPr>
          <w:rFonts w:cs="Times New Roman"/>
        </w:rPr>
        <w:t>revised version of the Environmental and Social Framework</w:t>
      </w:r>
      <w:r>
        <w:rPr>
          <w:rFonts w:cs="Times New Roman"/>
        </w:rPr>
        <w:t xml:space="preserve">.  </w:t>
      </w:r>
    </w:p>
    <w:p w14:paraId="1D01922C" w14:textId="77777777" w:rsidR="008B1599" w:rsidRDefault="008B1599" w:rsidP="00FF0C6C">
      <w:pPr>
        <w:jc w:val="both"/>
        <w:rPr>
          <w:rFonts w:cs="Times New Roman"/>
        </w:rPr>
      </w:pPr>
    </w:p>
    <w:p w14:paraId="60516532" w14:textId="77777777" w:rsidR="008B1599" w:rsidRDefault="008B1599" w:rsidP="00FF0C6C">
      <w:pPr>
        <w:jc w:val="both"/>
        <w:rPr>
          <w:rFonts w:cs="Times New Roman"/>
        </w:rPr>
      </w:pPr>
      <w:r>
        <w:rPr>
          <w:rFonts w:cs="Times New Roman"/>
        </w:rPr>
        <w:t>We would welcome the opportunity to discuss our comments with AIIB in greater detail.</w:t>
      </w:r>
    </w:p>
    <w:p w14:paraId="2DA40662" w14:textId="77777777" w:rsidR="008B1599" w:rsidRDefault="008B1599" w:rsidP="00FF0C6C">
      <w:pPr>
        <w:jc w:val="both"/>
        <w:rPr>
          <w:rFonts w:cs="Times New Roman"/>
        </w:rPr>
      </w:pPr>
    </w:p>
    <w:p w14:paraId="0895A191" w14:textId="77777777" w:rsidR="008B1599" w:rsidRDefault="008B1599" w:rsidP="00FF0C6C">
      <w:pPr>
        <w:jc w:val="both"/>
        <w:rPr>
          <w:rFonts w:cs="Times New Roman"/>
        </w:rPr>
      </w:pPr>
      <w:r>
        <w:rPr>
          <w:rFonts w:cs="Times New Roman"/>
        </w:rPr>
        <w:t>Yours sincerely,</w:t>
      </w:r>
    </w:p>
    <w:p w14:paraId="6F63E17C" w14:textId="77777777" w:rsidR="008B1599" w:rsidRDefault="008B1599" w:rsidP="008B1599">
      <w:pPr>
        <w:rPr>
          <w:rFonts w:cs="Times New Roman"/>
        </w:rPr>
      </w:pPr>
    </w:p>
    <w:p w14:paraId="65CE3985" w14:textId="77777777" w:rsidR="008B1599" w:rsidRDefault="008B1599" w:rsidP="008B1599">
      <w:pPr>
        <w:rPr>
          <w:rFonts w:cs="Times New Roman"/>
        </w:rPr>
      </w:pPr>
      <w:r>
        <w:rPr>
          <w:rFonts w:cs="Times New Roman"/>
          <w:noProof/>
          <w:lang w:val="en-US" w:eastAsia="en-US"/>
        </w:rPr>
        <w:drawing>
          <wp:inline distT="0" distB="0" distL="0" distR="0" wp14:anchorId="1AB9602D" wp14:editId="54AB581E">
            <wp:extent cx="1820335" cy="364067"/>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 Signa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0335" cy="364067"/>
                    </a:xfrm>
                    <a:prstGeom prst="rect">
                      <a:avLst/>
                    </a:prstGeom>
                  </pic:spPr>
                </pic:pic>
              </a:graphicData>
            </a:graphic>
          </wp:inline>
        </w:drawing>
      </w:r>
    </w:p>
    <w:p w14:paraId="33819DAD" w14:textId="77777777" w:rsidR="008B1599" w:rsidRDefault="008B1599" w:rsidP="008B1599">
      <w:pPr>
        <w:rPr>
          <w:rFonts w:cs="Times New Roman"/>
        </w:rPr>
      </w:pPr>
    </w:p>
    <w:p w14:paraId="0E8AC114" w14:textId="77777777" w:rsidR="008B1599" w:rsidRDefault="008B1599" w:rsidP="008B1599">
      <w:pPr>
        <w:rPr>
          <w:rFonts w:cs="Times New Roman"/>
        </w:rPr>
      </w:pPr>
      <w:r>
        <w:rPr>
          <w:rFonts w:cs="Times New Roman"/>
        </w:rPr>
        <w:t xml:space="preserve">David </w:t>
      </w:r>
      <w:proofErr w:type="spellStart"/>
      <w:r>
        <w:rPr>
          <w:rFonts w:cs="Times New Roman"/>
        </w:rPr>
        <w:t>Pred</w:t>
      </w:r>
      <w:proofErr w:type="spellEnd"/>
    </w:p>
    <w:p w14:paraId="7C1DDDD3" w14:textId="404231AC" w:rsidR="008B1599" w:rsidRDefault="00C52F2A" w:rsidP="008B1599">
      <w:pPr>
        <w:rPr>
          <w:rFonts w:cs="Times New Roman"/>
        </w:rPr>
      </w:pPr>
      <w:r>
        <w:rPr>
          <w:rFonts w:cs="Times New Roman"/>
        </w:rPr>
        <w:t>Executive</w:t>
      </w:r>
      <w:r w:rsidR="008B1599">
        <w:rPr>
          <w:rFonts w:cs="Times New Roman"/>
        </w:rPr>
        <w:t xml:space="preserve"> Director </w:t>
      </w:r>
    </w:p>
    <w:p w14:paraId="7EAC7F85" w14:textId="77777777" w:rsidR="008B1599" w:rsidRDefault="008B1599" w:rsidP="00C1604B">
      <w:pPr>
        <w:rPr>
          <w:rFonts w:cs="Times New Roman"/>
        </w:rPr>
      </w:pPr>
    </w:p>
    <w:p w14:paraId="43DCB00E" w14:textId="3AA51DF5" w:rsidR="00C1604B" w:rsidRPr="00C1604B" w:rsidRDefault="00C1604B" w:rsidP="00C1604B">
      <w:pPr>
        <w:rPr>
          <w:rFonts w:cs="Times New Roman"/>
        </w:rPr>
      </w:pPr>
      <w:r w:rsidRPr="00C1604B">
        <w:rPr>
          <w:rFonts w:cs="Times New Roman"/>
        </w:rPr>
        <w:t>Inclusive Development International</w:t>
      </w:r>
    </w:p>
    <w:p w14:paraId="045AE900" w14:textId="77777777" w:rsidR="00C1604B" w:rsidRPr="00C1604B" w:rsidRDefault="00C1604B" w:rsidP="00C1604B">
      <w:pPr>
        <w:rPr>
          <w:rFonts w:cs="Times New Roman"/>
        </w:rPr>
      </w:pPr>
      <w:r w:rsidRPr="00C1604B">
        <w:rPr>
          <w:rFonts w:cs="Times New Roman"/>
        </w:rPr>
        <w:t>9 SW Pack Square, Suite 302</w:t>
      </w:r>
    </w:p>
    <w:p w14:paraId="2EA9454C" w14:textId="77777777" w:rsidR="00C1604B" w:rsidRPr="00C1604B" w:rsidRDefault="00C1604B" w:rsidP="00C1604B">
      <w:pPr>
        <w:rPr>
          <w:rFonts w:cs="Times New Roman"/>
        </w:rPr>
      </w:pPr>
      <w:r w:rsidRPr="00C1604B">
        <w:rPr>
          <w:rFonts w:cs="Times New Roman"/>
        </w:rPr>
        <w:t>Asheville, NC 28801</w:t>
      </w:r>
    </w:p>
    <w:p w14:paraId="11E222A8" w14:textId="3A20E60A" w:rsidR="00C1604B" w:rsidRDefault="00C1604B" w:rsidP="00C1604B">
      <w:pPr>
        <w:rPr>
          <w:rFonts w:cs="Times New Roman"/>
        </w:rPr>
      </w:pPr>
      <w:r>
        <w:rPr>
          <w:rFonts w:cs="Times New Roman"/>
        </w:rPr>
        <w:t>USA</w:t>
      </w:r>
    </w:p>
    <w:p w14:paraId="592AD7C1" w14:textId="405E4C77" w:rsidR="00C1604B" w:rsidRPr="00C1604B" w:rsidRDefault="00C1604B" w:rsidP="00C1604B">
      <w:r>
        <w:t xml:space="preserve">Tel: </w:t>
      </w:r>
      <w:r w:rsidRPr="00C1604B">
        <w:t>+1 (828) 505 4340</w:t>
      </w:r>
    </w:p>
    <w:p w14:paraId="429551EC" w14:textId="50495406" w:rsidR="00C1604B" w:rsidRDefault="00C1604B" w:rsidP="00C1604B">
      <w:r>
        <w:t xml:space="preserve">Email: </w:t>
      </w:r>
      <w:hyperlink r:id="rId11" w:history="1">
        <w:r w:rsidR="00C52F2A" w:rsidRPr="008A4C13">
          <w:rPr>
            <w:rStyle w:val="Hyperlink"/>
          </w:rPr>
          <w:t>david@inclusivedevelopment.net</w:t>
        </w:r>
      </w:hyperlink>
      <w:r w:rsidR="00C52F2A">
        <w:t xml:space="preserve"> </w:t>
      </w:r>
    </w:p>
    <w:p w14:paraId="18C8D6D5" w14:textId="77777777" w:rsidR="00C1604B" w:rsidRDefault="00C1604B" w:rsidP="00C1604B"/>
    <w:p w14:paraId="540B0B69" w14:textId="77777777" w:rsidR="006A6350" w:rsidRDefault="006A6350">
      <w:pPr>
        <w:spacing w:after="160" w:line="259" w:lineRule="auto"/>
        <w:rPr>
          <w:b/>
          <w:bCs/>
        </w:rPr>
      </w:pPr>
      <w:r>
        <w:rPr>
          <w:b/>
          <w:bCs/>
        </w:rPr>
        <w:br w:type="page"/>
      </w:r>
    </w:p>
    <w:p w14:paraId="6C7B8724" w14:textId="13392D4A" w:rsidR="00C1604B" w:rsidRDefault="006A6350" w:rsidP="00C1604B">
      <w:pPr>
        <w:rPr>
          <w:rFonts w:cs="Times New Roman"/>
          <w:b/>
          <w:bCs/>
        </w:rPr>
      </w:pPr>
      <w:r>
        <w:rPr>
          <w:noProof/>
          <w:lang w:val="en-US" w:eastAsia="en-US"/>
        </w:rPr>
        <w:lastRenderedPageBreak/>
        <w:drawing>
          <wp:anchor distT="0" distB="0" distL="114300" distR="114300" simplePos="0" relativeHeight="251659264" behindDoc="0" locked="0" layoutInCell="1" allowOverlap="1" wp14:anchorId="59407AF6" wp14:editId="7CE76E07">
            <wp:simplePos x="0" y="0"/>
            <wp:positionH relativeFrom="margin">
              <wp:posOffset>4259580</wp:posOffset>
            </wp:positionH>
            <wp:positionV relativeFrom="paragraph">
              <wp:posOffset>7620</wp:posOffset>
            </wp:positionV>
            <wp:extent cx="1492885" cy="661035"/>
            <wp:effectExtent l="0" t="0" r="0" b="5715"/>
            <wp:wrapThrough wrapText="bothSides">
              <wp:wrapPolygon edited="0">
                <wp:start x="2756" y="0"/>
                <wp:lineTo x="0" y="3112"/>
                <wp:lineTo x="0" y="13072"/>
                <wp:lineTo x="2756" y="19919"/>
                <wp:lineTo x="3583" y="21164"/>
                <wp:lineTo x="6615" y="21164"/>
                <wp:lineTo x="7166" y="19919"/>
                <wp:lineTo x="21223" y="16807"/>
                <wp:lineTo x="21223" y="7470"/>
                <wp:lineTo x="15435" y="3735"/>
                <wp:lineTo x="7166" y="0"/>
                <wp:lineTo x="2756"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2885" cy="661035"/>
                    </a:xfrm>
                    <a:prstGeom prst="rect">
                      <a:avLst/>
                    </a:prstGeom>
                    <a:noFill/>
                    <a:ln>
                      <a:noFill/>
                    </a:ln>
                  </pic:spPr>
                </pic:pic>
              </a:graphicData>
            </a:graphic>
            <wp14:sizeRelH relativeFrom="page">
              <wp14:pctWidth>0</wp14:pctWidth>
            </wp14:sizeRelH>
            <wp14:sizeRelV relativeFrom="page">
              <wp14:pctHeight>0</wp14:pctHeight>
            </wp14:sizeRelV>
          </wp:anchor>
        </w:drawing>
      </w:r>
      <w:r w:rsidR="00E111DD" w:rsidRPr="00E111DD">
        <w:rPr>
          <w:b/>
          <w:bCs/>
        </w:rPr>
        <w:t xml:space="preserve">Comments on Phase 1 of the </w:t>
      </w:r>
      <w:r w:rsidR="00E111DD" w:rsidRPr="00E111DD">
        <w:rPr>
          <w:rFonts w:cs="Times New Roman"/>
          <w:b/>
          <w:bCs/>
        </w:rPr>
        <w:t>Environmental and Social Framework Review</w:t>
      </w:r>
    </w:p>
    <w:p w14:paraId="138B2BAE" w14:textId="296392C4" w:rsidR="006A6350" w:rsidRDefault="006A6350" w:rsidP="00C1604B">
      <w:pPr>
        <w:rPr>
          <w:rFonts w:cs="Times New Roman"/>
          <w:b/>
          <w:bCs/>
        </w:rPr>
      </w:pPr>
    </w:p>
    <w:p w14:paraId="6C0243CA" w14:textId="7E262EE8" w:rsidR="006A6350" w:rsidRPr="006A6350" w:rsidRDefault="006A6350" w:rsidP="00C1604B">
      <w:r w:rsidRPr="006A6350">
        <w:rPr>
          <w:rFonts w:cs="Times New Roman"/>
        </w:rPr>
        <w:t>28 February 2020</w:t>
      </w:r>
    </w:p>
    <w:p w14:paraId="783784FE" w14:textId="14C48A43" w:rsidR="00F72F89" w:rsidRDefault="00F72F89" w:rsidP="00C1604B"/>
    <w:p w14:paraId="1C4FA39B" w14:textId="485A8A3F" w:rsidR="003B6BE1" w:rsidRPr="00922C17" w:rsidRDefault="00B13068" w:rsidP="003B6BE1">
      <w:pPr>
        <w:rPr>
          <w:rFonts w:cs="Times New Roman"/>
          <w:b/>
        </w:rPr>
      </w:pPr>
      <w:r>
        <w:rPr>
          <w:rFonts w:cs="Times New Roman"/>
          <w:b/>
        </w:rPr>
        <w:t xml:space="preserve">1. </w:t>
      </w:r>
      <w:r w:rsidR="003B6BE1" w:rsidRPr="00922C17">
        <w:rPr>
          <w:rFonts w:cs="Times New Roman"/>
          <w:b/>
        </w:rPr>
        <w:t>Introduction</w:t>
      </w:r>
    </w:p>
    <w:p w14:paraId="36443CEA" w14:textId="77777777" w:rsidR="003B6BE1" w:rsidRDefault="003B6BE1" w:rsidP="003B6BE1">
      <w:pPr>
        <w:jc w:val="both"/>
        <w:rPr>
          <w:rFonts w:cs="Times New Roman"/>
        </w:rPr>
      </w:pPr>
    </w:p>
    <w:p w14:paraId="1D416DAE" w14:textId="606E47E0" w:rsidR="00AE4EBF" w:rsidRPr="00AE4EBF" w:rsidRDefault="00AE4EBF" w:rsidP="00AE4EBF">
      <w:pPr>
        <w:jc w:val="both"/>
        <w:rPr>
          <w:rFonts w:cs="Times New Roman"/>
        </w:rPr>
      </w:pPr>
      <w:r w:rsidRPr="00AE4EBF">
        <w:rPr>
          <w:rFonts w:cs="Times New Roman"/>
          <w:color w:val="222222"/>
          <w:shd w:val="clear" w:color="auto" w:fill="FFFFFF"/>
        </w:rPr>
        <w:t xml:space="preserve">Inclusive Development International </w:t>
      </w:r>
      <w:r w:rsidR="008C199F">
        <w:rPr>
          <w:rFonts w:cs="Times New Roman"/>
          <w:color w:val="222222"/>
          <w:shd w:val="clear" w:color="auto" w:fill="FFFFFF"/>
        </w:rPr>
        <w:t>is a non-government</w:t>
      </w:r>
      <w:r w:rsidR="0005377D">
        <w:rPr>
          <w:rFonts w:cs="Times New Roman"/>
          <w:color w:val="222222"/>
          <w:shd w:val="clear" w:color="auto" w:fill="FFFFFF"/>
        </w:rPr>
        <w:t>al</w:t>
      </w:r>
      <w:r w:rsidR="008C199F">
        <w:rPr>
          <w:rFonts w:cs="Times New Roman"/>
          <w:color w:val="222222"/>
          <w:shd w:val="clear" w:color="auto" w:fill="FFFFFF"/>
        </w:rPr>
        <w:t xml:space="preserve"> organization that</w:t>
      </w:r>
      <w:r w:rsidR="00FE6548">
        <w:rPr>
          <w:rFonts w:cs="Times New Roman"/>
          <w:color w:val="222222"/>
          <w:shd w:val="clear" w:color="auto" w:fill="FFFFFF"/>
        </w:rPr>
        <w:t xml:space="preserve"> </w:t>
      </w:r>
      <w:r w:rsidRPr="00AE4EBF">
        <w:rPr>
          <w:rFonts w:cs="Times New Roman"/>
          <w:color w:val="222222"/>
          <w:shd w:val="clear" w:color="auto" w:fill="FFFFFF"/>
        </w:rPr>
        <w:t>works to advance social, economic and environmental justice by supporting communities around the world to defend their land, environment and human rights in the face of harmful investment projects. Through research, casework and policy advocacy, we hold corporations, financial institutions and development agencies accountable to their human rights and environmental responsibilities and promote a more just and equitable international economic system.</w:t>
      </w:r>
    </w:p>
    <w:p w14:paraId="5406047C" w14:textId="77777777" w:rsidR="003B6BE1" w:rsidRPr="00CE1197" w:rsidRDefault="003B6BE1" w:rsidP="003B6BE1">
      <w:pPr>
        <w:jc w:val="both"/>
        <w:rPr>
          <w:rFonts w:cs="Times New Roman"/>
        </w:rPr>
      </w:pPr>
    </w:p>
    <w:p w14:paraId="05E6DCE5" w14:textId="5F8436E2" w:rsidR="003B6BE1" w:rsidRDefault="007A263E" w:rsidP="003B6BE1">
      <w:pPr>
        <w:jc w:val="both"/>
        <w:rPr>
          <w:rFonts w:cs="Times New Roman"/>
        </w:rPr>
      </w:pPr>
      <w:r w:rsidRPr="00AE4EBF">
        <w:rPr>
          <w:rFonts w:cs="Times New Roman"/>
          <w:color w:val="222222"/>
          <w:shd w:val="clear" w:color="auto" w:fill="FFFFFF"/>
        </w:rPr>
        <w:t>Inclusive Development International</w:t>
      </w:r>
      <w:r w:rsidR="003B6BE1" w:rsidRPr="00CE1197">
        <w:rPr>
          <w:rFonts w:cs="Times New Roman"/>
        </w:rPr>
        <w:t>’s team has extensive experience working to ensure that development finance institutions, including the World Bank and the Asian Development Bank</w:t>
      </w:r>
      <w:r w:rsidR="003B6BE1">
        <w:rPr>
          <w:rFonts w:cs="Times New Roman"/>
        </w:rPr>
        <w:t xml:space="preserve"> (ADB)</w:t>
      </w:r>
      <w:r w:rsidR="003B6BE1" w:rsidRPr="00CE1197">
        <w:rPr>
          <w:rFonts w:cs="Times New Roman"/>
        </w:rPr>
        <w:t xml:space="preserve">, adopt policies to ensure that people required to resettle to make way for infrastructure projects are not forced into poverty. </w:t>
      </w:r>
      <w:r w:rsidR="007C360F">
        <w:rPr>
          <w:rFonts w:cs="Times New Roman"/>
        </w:rPr>
        <w:t>Since 2015, we have been actively engaging with the Asian Infrastructure Investment Bank</w:t>
      </w:r>
      <w:r w:rsidR="009424B6">
        <w:rPr>
          <w:rFonts w:cs="Times New Roman"/>
        </w:rPr>
        <w:t xml:space="preserve"> via</w:t>
      </w:r>
      <w:r w:rsidR="007C360F">
        <w:rPr>
          <w:rFonts w:cs="Times New Roman"/>
        </w:rPr>
        <w:t xml:space="preserve"> public consultation processes and discussing specific </w:t>
      </w:r>
      <w:r w:rsidR="00BD6DBD">
        <w:rPr>
          <w:rFonts w:cs="Times New Roman"/>
        </w:rPr>
        <w:t xml:space="preserve">project and policy </w:t>
      </w:r>
      <w:r w:rsidR="00B74ABD">
        <w:rPr>
          <w:rFonts w:cs="Times New Roman"/>
        </w:rPr>
        <w:t xml:space="preserve">related </w:t>
      </w:r>
      <w:r w:rsidR="00BD6DBD">
        <w:rPr>
          <w:rFonts w:cs="Times New Roman"/>
        </w:rPr>
        <w:t>issues</w:t>
      </w:r>
      <w:r w:rsidR="009424B6">
        <w:rPr>
          <w:rFonts w:cs="Times New Roman"/>
        </w:rPr>
        <w:t xml:space="preserve"> directly</w:t>
      </w:r>
      <w:r w:rsidR="00BD6DBD">
        <w:rPr>
          <w:rFonts w:cs="Times New Roman"/>
        </w:rPr>
        <w:t xml:space="preserve"> with bank</w:t>
      </w:r>
      <w:r w:rsidR="00D51828">
        <w:rPr>
          <w:rFonts w:cs="Times New Roman"/>
        </w:rPr>
        <w:t xml:space="preserve"> management</w:t>
      </w:r>
      <w:r w:rsidR="00B74ABD">
        <w:rPr>
          <w:rFonts w:cs="Times New Roman"/>
        </w:rPr>
        <w:t xml:space="preserve"> and board members</w:t>
      </w:r>
      <w:r w:rsidR="009424B6">
        <w:rPr>
          <w:rFonts w:cs="Times New Roman"/>
        </w:rPr>
        <w:t>, both during and outside of the bank’s annual meetings.</w:t>
      </w:r>
      <w:r w:rsidR="00850272">
        <w:rPr>
          <w:rFonts w:cs="Times New Roman"/>
        </w:rPr>
        <w:t xml:space="preserve"> </w:t>
      </w:r>
    </w:p>
    <w:p w14:paraId="04B4FA7D" w14:textId="1AB4D5FB" w:rsidR="003B6BE1" w:rsidRDefault="003B6BE1" w:rsidP="003B6BE1">
      <w:pPr>
        <w:jc w:val="both"/>
        <w:rPr>
          <w:rFonts w:cs="Times New Roman"/>
        </w:rPr>
      </w:pPr>
    </w:p>
    <w:p w14:paraId="2DFA30DA" w14:textId="5B0DF4F3" w:rsidR="003B6BE1" w:rsidRDefault="00C609EE" w:rsidP="003B6BE1">
      <w:pPr>
        <w:jc w:val="both"/>
        <w:rPr>
          <w:rFonts w:cs="Times New Roman"/>
        </w:rPr>
      </w:pPr>
      <w:r>
        <w:rPr>
          <w:rFonts w:cs="Times New Roman"/>
        </w:rPr>
        <w:t>In o</w:t>
      </w:r>
      <w:r w:rsidR="00892C6A">
        <w:rPr>
          <w:rFonts w:cs="Times New Roman"/>
        </w:rPr>
        <w:t xml:space="preserve">ur </w:t>
      </w:r>
      <w:r w:rsidR="00EA743F">
        <w:rPr>
          <w:rFonts w:cs="Times New Roman"/>
        </w:rPr>
        <w:t xml:space="preserve">2015 </w:t>
      </w:r>
      <w:r w:rsidR="00892C6A">
        <w:rPr>
          <w:rFonts w:cs="Times New Roman"/>
        </w:rPr>
        <w:t>submission</w:t>
      </w:r>
      <w:r w:rsidR="000203F1">
        <w:rPr>
          <w:rFonts w:cs="Times New Roman"/>
        </w:rPr>
        <w:t>s</w:t>
      </w:r>
      <w:r w:rsidR="00892C6A">
        <w:rPr>
          <w:rFonts w:cs="Times New Roman"/>
        </w:rPr>
        <w:t xml:space="preserve"> on the </w:t>
      </w:r>
      <w:r w:rsidR="00D51828">
        <w:rPr>
          <w:rFonts w:cs="Times New Roman"/>
        </w:rPr>
        <w:t>current</w:t>
      </w:r>
      <w:r w:rsidR="00892C6A">
        <w:rPr>
          <w:rFonts w:cs="Times New Roman"/>
        </w:rPr>
        <w:t xml:space="preserve"> </w:t>
      </w:r>
      <w:r w:rsidR="00D51828">
        <w:rPr>
          <w:rFonts w:cs="Times New Roman"/>
        </w:rPr>
        <w:t>version of the Environmental and Social Framework (ESF)</w:t>
      </w:r>
      <w:r>
        <w:rPr>
          <w:rFonts w:cs="Times New Roman"/>
        </w:rPr>
        <w:t xml:space="preserve">, we </w:t>
      </w:r>
      <w:r w:rsidR="0027204C">
        <w:rPr>
          <w:rFonts w:cs="Times New Roman"/>
        </w:rPr>
        <w:t xml:space="preserve">welcomed the AIIB’s commitment to adopting </w:t>
      </w:r>
      <w:r w:rsidR="003B6BE1" w:rsidRPr="00CE1197">
        <w:rPr>
          <w:rFonts w:cs="Times New Roman"/>
        </w:rPr>
        <w:t xml:space="preserve">policies for dealing with the social and environmental impacts of its operations. </w:t>
      </w:r>
      <w:r w:rsidR="00F0454D">
        <w:rPr>
          <w:rFonts w:cs="Times New Roman"/>
        </w:rPr>
        <w:t xml:space="preserve">While we found </w:t>
      </w:r>
      <w:r w:rsidR="00822A58">
        <w:rPr>
          <w:rFonts w:cs="Times New Roman"/>
        </w:rPr>
        <w:t xml:space="preserve">that the ESF </w:t>
      </w:r>
      <w:r w:rsidR="003B6BE1">
        <w:rPr>
          <w:rFonts w:cs="Times New Roman"/>
        </w:rPr>
        <w:t>incorporates good standards</w:t>
      </w:r>
      <w:r w:rsidR="00822A58">
        <w:rPr>
          <w:rFonts w:cs="Times New Roman"/>
        </w:rPr>
        <w:t xml:space="preserve"> in a number of important areas</w:t>
      </w:r>
      <w:r w:rsidR="003B6BE1">
        <w:rPr>
          <w:rFonts w:cs="Times New Roman"/>
        </w:rPr>
        <w:t xml:space="preserve">, </w:t>
      </w:r>
      <w:r w:rsidR="003B6BE1" w:rsidRPr="00CE1197">
        <w:rPr>
          <w:rFonts w:cs="Times New Roman"/>
        </w:rPr>
        <w:t>we</w:t>
      </w:r>
      <w:r w:rsidR="003B6BE1">
        <w:rPr>
          <w:rFonts w:cs="Times New Roman"/>
        </w:rPr>
        <w:t xml:space="preserve"> </w:t>
      </w:r>
      <w:r w:rsidR="00822A58">
        <w:rPr>
          <w:rFonts w:cs="Times New Roman"/>
        </w:rPr>
        <w:t>raised</w:t>
      </w:r>
      <w:r w:rsidR="003B6BE1" w:rsidRPr="00CE1197">
        <w:rPr>
          <w:rFonts w:cs="Times New Roman"/>
        </w:rPr>
        <w:t xml:space="preserve"> concerns about the </w:t>
      </w:r>
      <w:r w:rsidR="003B6BE1">
        <w:rPr>
          <w:rFonts w:cs="Times New Roman"/>
        </w:rPr>
        <w:t xml:space="preserve">overall </w:t>
      </w:r>
      <w:r w:rsidR="003B6BE1" w:rsidRPr="00CE1197">
        <w:rPr>
          <w:rFonts w:cs="Times New Roman"/>
        </w:rPr>
        <w:t>quality</w:t>
      </w:r>
      <w:r w:rsidR="003B6BE1">
        <w:rPr>
          <w:rFonts w:cs="Times New Roman"/>
        </w:rPr>
        <w:t xml:space="preserve"> and operationalization</w:t>
      </w:r>
      <w:r w:rsidR="003B6BE1" w:rsidRPr="00CE1197">
        <w:rPr>
          <w:rFonts w:cs="Times New Roman"/>
        </w:rPr>
        <w:t xml:space="preserve"> of the draft </w:t>
      </w:r>
      <w:r w:rsidR="0097285F">
        <w:rPr>
          <w:rFonts w:cs="Times New Roman"/>
        </w:rPr>
        <w:t>in comparison to the policies of the bank’s multilateral peers</w:t>
      </w:r>
      <w:r w:rsidR="003B6BE1" w:rsidRPr="00CE1197">
        <w:rPr>
          <w:rFonts w:cs="Times New Roman"/>
        </w:rPr>
        <w:t xml:space="preserve">. </w:t>
      </w:r>
      <w:r w:rsidR="00A41B8B">
        <w:rPr>
          <w:rFonts w:cs="Times New Roman"/>
        </w:rPr>
        <w:t>A number of those</w:t>
      </w:r>
      <w:r w:rsidR="00A446D6">
        <w:rPr>
          <w:rFonts w:cs="Times New Roman"/>
        </w:rPr>
        <w:t xml:space="preserve"> concerns still stand, and we therefore </w:t>
      </w:r>
      <w:r w:rsidR="00A9315C">
        <w:rPr>
          <w:rFonts w:cs="Times New Roman"/>
        </w:rPr>
        <w:t>appreciate</w:t>
      </w:r>
      <w:r w:rsidR="008B5010">
        <w:rPr>
          <w:rFonts w:cs="Times New Roman"/>
        </w:rPr>
        <w:t xml:space="preserve"> the opportunity to engage in this </w:t>
      </w:r>
      <w:r w:rsidR="00A41B8B">
        <w:rPr>
          <w:rFonts w:cs="Times New Roman"/>
        </w:rPr>
        <w:t xml:space="preserve">review </w:t>
      </w:r>
      <w:r w:rsidR="00D20FCE">
        <w:rPr>
          <w:rFonts w:cs="Times New Roman"/>
        </w:rPr>
        <w:t>process.</w:t>
      </w:r>
    </w:p>
    <w:p w14:paraId="7230F1CF" w14:textId="77777777" w:rsidR="003B6BE1" w:rsidRDefault="003B6BE1" w:rsidP="003B6BE1">
      <w:pPr>
        <w:jc w:val="both"/>
        <w:rPr>
          <w:rFonts w:cs="Times New Roman"/>
        </w:rPr>
      </w:pPr>
    </w:p>
    <w:p w14:paraId="6FB09DA7" w14:textId="2DF4B0F6" w:rsidR="00C1604B" w:rsidRPr="00C1604B" w:rsidRDefault="00B13068" w:rsidP="00C1604B">
      <w:pPr>
        <w:rPr>
          <w:b/>
          <w:bCs/>
        </w:rPr>
      </w:pPr>
      <w:r>
        <w:rPr>
          <w:b/>
          <w:bCs/>
        </w:rPr>
        <w:t>2</w:t>
      </w:r>
      <w:r w:rsidR="00362A54">
        <w:rPr>
          <w:b/>
          <w:bCs/>
        </w:rPr>
        <w:t xml:space="preserve">. </w:t>
      </w:r>
      <w:r w:rsidR="00C1604B" w:rsidRPr="00C1604B">
        <w:rPr>
          <w:b/>
          <w:bCs/>
        </w:rPr>
        <w:t>Note on consultation process</w:t>
      </w:r>
    </w:p>
    <w:p w14:paraId="403D8222" w14:textId="08EB8B33" w:rsidR="00C1604B" w:rsidRDefault="00C1604B" w:rsidP="00D56482">
      <w:pPr>
        <w:jc w:val="both"/>
        <w:rPr>
          <w:rFonts w:cs="Times New Roman"/>
        </w:rPr>
      </w:pPr>
    </w:p>
    <w:p w14:paraId="33AE6D9B" w14:textId="15132C19" w:rsidR="00CC3A48" w:rsidRDefault="00665A4C" w:rsidP="00D56482">
      <w:pPr>
        <w:jc w:val="both"/>
        <w:rPr>
          <w:rFonts w:cs="Times New Roman"/>
        </w:rPr>
      </w:pPr>
      <w:r>
        <w:rPr>
          <w:rFonts w:cs="Times New Roman"/>
        </w:rPr>
        <w:t xml:space="preserve">We welcome the </w:t>
      </w:r>
      <w:r w:rsidR="007A1A49">
        <w:rPr>
          <w:rFonts w:cs="Times New Roman"/>
        </w:rPr>
        <w:t>two</w:t>
      </w:r>
      <w:r w:rsidR="002D7D5E">
        <w:rPr>
          <w:rFonts w:cs="Times New Roman"/>
        </w:rPr>
        <w:t>-</w:t>
      </w:r>
      <w:r w:rsidR="007A1A49">
        <w:rPr>
          <w:rFonts w:cs="Times New Roman"/>
        </w:rPr>
        <w:t>stage process</w:t>
      </w:r>
      <w:r>
        <w:rPr>
          <w:rFonts w:cs="Times New Roman"/>
        </w:rPr>
        <w:t xml:space="preserve"> designed</w:t>
      </w:r>
      <w:r w:rsidR="00D73DF1">
        <w:rPr>
          <w:rFonts w:cs="Times New Roman"/>
        </w:rPr>
        <w:t xml:space="preserve"> for th</w:t>
      </w:r>
      <w:r w:rsidR="00623A17">
        <w:rPr>
          <w:rFonts w:cs="Times New Roman"/>
        </w:rPr>
        <w:t>is</w:t>
      </w:r>
      <w:r w:rsidR="00D73DF1">
        <w:rPr>
          <w:rFonts w:cs="Times New Roman"/>
        </w:rPr>
        <w:t xml:space="preserve"> review</w:t>
      </w:r>
      <w:r w:rsidR="00644B8E">
        <w:rPr>
          <w:rFonts w:cs="Times New Roman"/>
        </w:rPr>
        <w:t xml:space="preserve">. However, we are </w:t>
      </w:r>
      <w:r w:rsidR="00F75E6C">
        <w:rPr>
          <w:rFonts w:cs="Times New Roman"/>
        </w:rPr>
        <w:t xml:space="preserve">again </w:t>
      </w:r>
      <w:r w:rsidR="00644B8E">
        <w:rPr>
          <w:rFonts w:cs="Times New Roman"/>
        </w:rPr>
        <w:t xml:space="preserve">concerned about the </w:t>
      </w:r>
      <w:r w:rsidR="005D415B">
        <w:rPr>
          <w:rFonts w:cs="Times New Roman"/>
        </w:rPr>
        <w:t xml:space="preserve">overall </w:t>
      </w:r>
      <w:r w:rsidR="00644B8E">
        <w:rPr>
          <w:rFonts w:cs="Times New Roman"/>
        </w:rPr>
        <w:t>adequacy of the re</w:t>
      </w:r>
      <w:r w:rsidR="005D415B">
        <w:rPr>
          <w:rFonts w:cs="Times New Roman"/>
        </w:rPr>
        <w:t xml:space="preserve">view process. The review was announced in late January </w:t>
      </w:r>
      <w:r w:rsidR="006B0C6C">
        <w:rPr>
          <w:rFonts w:cs="Times New Roman"/>
        </w:rPr>
        <w:t xml:space="preserve">with the deadline for phase 1 </w:t>
      </w:r>
      <w:r w:rsidR="00623A17">
        <w:rPr>
          <w:rFonts w:cs="Times New Roman"/>
        </w:rPr>
        <w:t xml:space="preserve">set for </w:t>
      </w:r>
      <w:r w:rsidR="00921365">
        <w:rPr>
          <w:rFonts w:cs="Times New Roman"/>
        </w:rPr>
        <w:t xml:space="preserve">28 February. This is already </w:t>
      </w:r>
      <w:r w:rsidR="00F942C2">
        <w:rPr>
          <w:rFonts w:cs="Times New Roman"/>
        </w:rPr>
        <w:t xml:space="preserve">a short window of time for civil society groups to draft their submissions, as this often requires gathering data and inputs from </w:t>
      </w:r>
      <w:r w:rsidR="000631DD">
        <w:rPr>
          <w:rFonts w:cs="Times New Roman"/>
        </w:rPr>
        <w:t>grassroots partners and network members who are geographically spread.</w:t>
      </w:r>
      <w:r w:rsidR="00A741D9">
        <w:rPr>
          <w:rFonts w:cs="Times New Roman"/>
        </w:rPr>
        <w:t xml:space="preserve"> </w:t>
      </w:r>
    </w:p>
    <w:p w14:paraId="7F83FD1F" w14:textId="77777777" w:rsidR="00CC3A48" w:rsidRDefault="00CC3A48" w:rsidP="00D56482">
      <w:pPr>
        <w:jc w:val="both"/>
        <w:rPr>
          <w:rFonts w:cs="Times New Roman"/>
        </w:rPr>
      </w:pPr>
    </w:p>
    <w:p w14:paraId="4F47C877" w14:textId="08206233" w:rsidR="007A1A49" w:rsidRDefault="00A741D9" w:rsidP="00D56482">
      <w:pPr>
        <w:jc w:val="both"/>
        <w:rPr>
          <w:rFonts w:cs="Times New Roman"/>
        </w:rPr>
      </w:pPr>
      <w:r>
        <w:rPr>
          <w:rFonts w:cs="Times New Roman"/>
        </w:rPr>
        <w:t>Th</w:t>
      </w:r>
      <w:r w:rsidR="00623A17">
        <w:rPr>
          <w:rFonts w:cs="Times New Roman"/>
        </w:rPr>
        <w:t xml:space="preserve">e short period of time for the preparation of submissions </w:t>
      </w:r>
      <w:r>
        <w:rPr>
          <w:rFonts w:cs="Times New Roman"/>
        </w:rPr>
        <w:t xml:space="preserve">was exacerbated by the </w:t>
      </w:r>
      <w:r w:rsidR="00623A17">
        <w:rPr>
          <w:rFonts w:cs="Times New Roman"/>
        </w:rPr>
        <w:t xml:space="preserve">limited public announcement and outreach about </w:t>
      </w:r>
      <w:r>
        <w:rPr>
          <w:rFonts w:cs="Times New Roman"/>
        </w:rPr>
        <w:t xml:space="preserve">the process. </w:t>
      </w:r>
      <w:r w:rsidR="00CC3A48">
        <w:rPr>
          <w:rFonts w:cs="Times New Roman"/>
        </w:rPr>
        <w:t xml:space="preserve">At the time of writing, the consultation process </w:t>
      </w:r>
      <w:r w:rsidR="00897EF5">
        <w:rPr>
          <w:rFonts w:cs="Times New Roman"/>
        </w:rPr>
        <w:t>has not been</w:t>
      </w:r>
      <w:r w:rsidR="00CC3A48">
        <w:rPr>
          <w:rFonts w:cs="Times New Roman"/>
        </w:rPr>
        <w:t xml:space="preserve"> posted on the AIIB home page</w:t>
      </w:r>
      <w:r w:rsidR="00860B26">
        <w:rPr>
          <w:rFonts w:cs="Times New Roman"/>
        </w:rPr>
        <w:t xml:space="preserve">. </w:t>
      </w:r>
      <w:r w:rsidR="007531CF">
        <w:rPr>
          <w:rFonts w:cs="Times New Roman"/>
        </w:rPr>
        <w:t>In contrast, t</w:t>
      </w:r>
      <w:r w:rsidR="00860B26">
        <w:rPr>
          <w:rFonts w:cs="Times New Roman"/>
        </w:rPr>
        <w:t xml:space="preserve">he </w:t>
      </w:r>
      <w:r w:rsidR="007531CF">
        <w:rPr>
          <w:rFonts w:cs="Times New Roman"/>
        </w:rPr>
        <w:t xml:space="preserve">consultation for the AIIB’s Digital </w:t>
      </w:r>
      <w:r w:rsidR="009B1165">
        <w:rPr>
          <w:rFonts w:cs="Times New Roman"/>
        </w:rPr>
        <w:t xml:space="preserve">Infrastructure Strategy, which was announced around the same time, features heavily on the bank’s website and is the first thing readers see when opening the </w:t>
      </w:r>
      <w:r w:rsidR="00DD243C">
        <w:rPr>
          <w:rFonts w:cs="Times New Roman"/>
        </w:rPr>
        <w:t xml:space="preserve">home </w:t>
      </w:r>
      <w:r w:rsidR="009B1165">
        <w:rPr>
          <w:rFonts w:cs="Times New Roman"/>
        </w:rPr>
        <w:t>page.</w:t>
      </w:r>
      <w:r w:rsidR="00FB0EE5">
        <w:rPr>
          <w:rFonts w:cs="Times New Roman"/>
        </w:rPr>
        <w:t xml:space="preserve"> With the whole process being run in English, </w:t>
      </w:r>
      <w:r w:rsidR="00623A17">
        <w:rPr>
          <w:rFonts w:cs="Times New Roman"/>
        </w:rPr>
        <w:t xml:space="preserve">and </w:t>
      </w:r>
      <w:r w:rsidR="000203F1">
        <w:rPr>
          <w:rFonts w:cs="Times New Roman"/>
        </w:rPr>
        <w:t xml:space="preserve">the burden of </w:t>
      </w:r>
      <w:r w:rsidR="00623A17">
        <w:rPr>
          <w:rFonts w:cs="Times New Roman"/>
        </w:rPr>
        <w:t>translation into local languages</w:t>
      </w:r>
      <w:r w:rsidR="000203F1">
        <w:rPr>
          <w:rFonts w:cs="Times New Roman"/>
        </w:rPr>
        <w:t xml:space="preserve"> falling on CSOs</w:t>
      </w:r>
      <w:r w:rsidR="00623A17">
        <w:rPr>
          <w:rFonts w:cs="Times New Roman"/>
        </w:rPr>
        <w:t xml:space="preserve">, </w:t>
      </w:r>
      <w:r w:rsidR="00FB0EE5">
        <w:rPr>
          <w:rFonts w:cs="Times New Roman"/>
        </w:rPr>
        <w:t xml:space="preserve">the window for local civil society groups and others to engage in the process is </w:t>
      </w:r>
      <w:r w:rsidR="000203F1">
        <w:rPr>
          <w:rFonts w:cs="Times New Roman"/>
        </w:rPr>
        <w:t>restrictive</w:t>
      </w:r>
      <w:r w:rsidR="00FB0EE5">
        <w:rPr>
          <w:rFonts w:cs="Times New Roman"/>
        </w:rPr>
        <w:t>.</w:t>
      </w:r>
    </w:p>
    <w:p w14:paraId="7C5ADADE" w14:textId="77777777" w:rsidR="007A1A49" w:rsidRDefault="007A1A49" w:rsidP="00D56482">
      <w:pPr>
        <w:jc w:val="both"/>
        <w:rPr>
          <w:rFonts w:cs="Times New Roman"/>
        </w:rPr>
      </w:pPr>
    </w:p>
    <w:p w14:paraId="0F31FBEC" w14:textId="17B48EAA" w:rsidR="00D10AE1" w:rsidRPr="00CE1197" w:rsidRDefault="003D653B" w:rsidP="00D56482">
      <w:pPr>
        <w:jc w:val="both"/>
        <w:rPr>
          <w:rFonts w:cs="Times New Roman"/>
        </w:rPr>
      </w:pPr>
      <w:r>
        <w:t>For the above reasons</w:t>
      </w:r>
      <w:r w:rsidR="001059CC">
        <w:t xml:space="preserve">, we </w:t>
      </w:r>
      <w:r w:rsidR="00EE79A4">
        <w:t xml:space="preserve">have </w:t>
      </w:r>
      <w:r w:rsidR="001059CC">
        <w:t xml:space="preserve">joined calls from our Asian and European partners for the process to be extended in order </w:t>
      </w:r>
      <w:r w:rsidR="00E04503">
        <w:t xml:space="preserve">to </w:t>
      </w:r>
      <w:r w:rsidR="00660002">
        <w:t xml:space="preserve">allow </w:t>
      </w:r>
      <w:r w:rsidR="00E04503">
        <w:t xml:space="preserve">time for </w:t>
      </w:r>
      <w:r w:rsidR="00455ECE">
        <w:t xml:space="preserve">local </w:t>
      </w:r>
      <w:r w:rsidR="00E04503">
        <w:t xml:space="preserve">voices </w:t>
      </w:r>
      <w:r w:rsidR="00455ECE">
        <w:t>to be heard</w:t>
      </w:r>
      <w:r w:rsidR="00012AFE">
        <w:t xml:space="preserve">. We hope that this </w:t>
      </w:r>
      <w:r w:rsidR="009375AA">
        <w:lastRenderedPageBreak/>
        <w:t>request is received positively by the bank</w:t>
      </w:r>
      <w:r w:rsidR="0078029C">
        <w:t xml:space="preserve">, and once again </w:t>
      </w:r>
      <w:r w:rsidR="00D10AE1">
        <w:rPr>
          <w:rFonts w:cs="Times New Roman"/>
        </w:rPr>
        <w:t xml:space="preserve">we </w:t>
      </w:r>
      <w:r w:rsidR="00D10AE1" w:rsidRPr="00CE1197">
        <w:rPr>
          <w:rFonts w:cs="Times New Roman"/>
        </w:rPr>
        <w:t xml:space="preserve">urge </w:t>
      </w:r>
      <w:r w:rsidR="00D10AE1">
        <w:rPr>
          <w:rFonts w:cs="Times New Roman"/>
        </w:rPr>
        <w:t>the AIIB</w:t>
      </w:r>
      <w:r w:rsidR="0057504A">
        <w:rPr>
          <w:rFonts w:cs="Times New Roman"/>
        </w:rPr>
        <w:t xml:space="preserve"> in future</w:t>
      </w:r>
      <w:r w:rsidR="00D10AE1">
        <w:rPr>
          <w:rFonts w:cs="Times New Roman"/>
        </w:rPr>
        <w:t xml:space="preserve"> </w:t>
      </w:r>
      <w:r w:rsidR="00963690">
        <w:rPr>
          <w:rFonts w:cs="Times New Roman"/>
        </w:rPr>
        <w:t xml:space="preserve">to </w:t>
      </w:r>
      <w:r w:rsidR="00D10AE1" w:rsidRPr="00CE1197">
        <w:rPr>
          <w:rFonts w:cs="Times New Roman"/>
        </w:rPr>
        <w:t>conduct meaningful consultations</w:t>
      </w:r>
      <w:r w:rsidR="00D10AE1">
        <w:rPr>
          <w:rFonts w:cs="Times New Roman"/>
        </w:rPr>
        <w:t>,</w:t>
      </w:r>
      <w:r w:rsidR="00D10AE1" w:rsidRPr="00CE1197">
        <w:rPr>
          <w:rFonts w:cs="Times New Roman"/>
        </w:rPr>
        <w:t xml:space="preserve"> befitting of a world-class </w:t>
      </w:r>
      <w:r w:rsidR="00660002">
        <w:rPr>
          <w:rFonts w:cs="Times New Roman"/>
        </w:rPr>
        <w:t>development finance institution</w:t>
      </w:r>
      <w:r w:rsidR="00D10AE1" w:rsidRPr="00CE1197">
        <w:rPr>
          <w:rFonts w:cs="Times New Roman"/>
        </w:rPr>
        <w:t>.</w:t>
      </w:r>
      <w:r w:rsidR="00D10AE1" w:rsidRPr="003E678B">
        <w:rPr>
          <w:rFonts w:cs="Times New Roman"/>
        </w:rPr>
        <w:t xml:space="preserve"> </w:t>
      </w:r>
    </w:p>
    <w:p w14:paraId="0B9A5678" w14:textId="77777777" w:rsidR="00D10AE1" w:rsidRPr="00CE1197" w:rsidRDefault="00D10AE1" w:rsidP="00D56482">
      <w:pPr>
        <w:jc w:val="both"/>
        <w:rPr>
          <w:rFonts w:cs="Times New Roman"/>
        </w:rPr>
      </w:pPr>
    </w:p>
    <w:p w14:paraId="63188199" w14:textId="666B244C" w:rsidR="007852E6" w:rsidRDefault="00B13068" w:rsidP="00C1604B">
      <w:pPr>
        <w:rPr>
          <w:b/>
          <w:bCs/>
        </w:rPr>
      </w:pPr>
      <w:r>
        <w:rPr>
          <w:b/>
          <w:bCs/>
        </w:rPr>
        <w:t>3</w:t>
      </w:r>
      <w:r w:rsidR="00697369">
        <w:rPr>
          <w:b/>
          <w:bCs/>
        </w:rPr>
        <w:t xml:space="preserve">. </w:t>
      </w:r>
      <w:r w:rsidR="00FF03EA">
        <w:rPr>
          <w:b/>
          <w:bCs/>
        </w:rPr>
        <w:t xml:space="preserve">The </w:t>
      </w:r>
      <w:r w:rsidR="00774229">
        <w:rPr>
          <w:b/>
          <w:bCs/>
        </w:rPr>
        <w:t>need for a strong ESF meeting international best practice</w:t>
      </w:r>
    </w:p>
    <w:p w14:paraId="5D87D5F6" w14:textId="3F2828EA" w:rsidR="009279CE" w:rsidRDefault="009279CE" w:rsidP="00C1604B">
      <w:pPr>
        <w:rPr>
          <w:b/>
          <w:bCs/>
        </w:rPr>
      </w:pPr>
    </w:p>
    <w:p w14:paraId="55247F5D" w14:textId="79B88DC7" w:rsidR="009279CE" w:rsidRPr="003560AF" w:rsidRDefault="00774229" w:rsidP="009279CE">
      <w:pPr>
        <w:jc w:val="both"/>
      </w:pPr>
      <w:r>
        <w:t>According to our assessment of the AIIB’s project portfolio, d</w:t>
      </w:r>
      <w:r w:rsidR="009279CE">
        <w:t>uring its first three and a half years of operations, the AIIB approved more category B projects than anything else, accounting for 42% of all projects. This has now begun to shift</w:t>
      </w:r>
      <w:r w:rsidR="00873542">
        <w:t>,</w:t>
      </w:r>
      <w:r w:rsidR="009279CE">
        <w:t xml:space="preserve"> </w:t>
      </w:r>
      <w:r w:rsidR="00F170CE">
        <w:t>with the majority (around 55%) of pipeline projects classified as category A</w:t>
      </w:r>
      <w:r w:rsidR="000F60B6">
        <w:t xml:space="preserve">, which pose </w:t>
      </w:r>
      <w:r w:rsidR="00C45EFB">
        <w:t xml:space="preserve">far </w:t>
      </w:r>
      <w:r w:rsidR="000F60B6">
        <w:t>greater risk</w:t>
      </w:r>
      <w:r w:rsidR="00F170CE">
        <w:t xml:space="preserve"> to people and the environment</w:t>
      </w:r>
      <w:r w:rsidR="009279CE">
        <w:t>.</w:t>
      </w:r>
      <w:r w:rsidR="003560AF">
        <w:t xml:space="preserve"> </w:t>
      </w:r>
      <w:r w:rsidR="009279CE" w:rsidRPr="003560AF">
        <w:t xml:space="preserve">This shift </w:t>
      </w:r>
      <w:r w:rsidR="00AD2E09">
        <w:t xml:space="preserve">makes </w:t>
      </w:r>
      <w:r w:rsidR="009279CE" w:rsidRPr="003560AF">
        <w:t>the review of the ESF</w:t>
      </w:r>
      <w:r w:rsidR="00AD2E09" w:rsidRPr="00AD2E09">
        <w:t xml:space="preserve"> </w:t>
      </w:r>
      <w:r w:rsidR="00AD2E09">
        <w:t xml:space="preserve">particularly </w:t>
      </w:r>
      <w:r w:rsidR="00AD2E09" w:rsidRPr="003560AF">
        <w:t>timely</w:t>
      </w:r>
      <w:r w:rsidR="009279CE" w:rsidRPr="003560AF">
        <w:t>. With the AIIB developing and now taking on more high</w:t>
      </w:r>
      <w:r w:rsidR="003560AF">
        <w:t>-</w:t>
      </w:r>
      <w:r w:rsidR="009279CE" w:rsidRPr="003560AF">
        <w:t>risk projects, the need for a strengthened and well-implemented ESF is increasingly important.</w:t>
      </w:r>
    </w:p>
    <w:p w14:paraId="02B67E17" w14:textId="6013277D" w:rsidR="009279CE" w:rsidRDefault="009279CE" w:rsidP="00C1604B">
      <w:pPr>
        <w:rPr>
          <w:b/>
          <w:bCs/>
        </w:rPr>
      </w:pPr>
    </w:p>
    <w:p w14:paraId="3EB2F995" w14:textId="64B2AC5D" w:rsidR="009279CE" w:rsidRDefault="009279CE" w:rsidP="009279CE">
      <w:pPr>
        <w:jc w:val="both"/>
      </w:pPr>
      <w:r>
        <w:t xml:space="preserve">Another important shift that has taken place is the move towards </w:t>
      </w:r>
      <w:r w:rsidR="00B642E6">
        <w:t xml:space="preserve">more </w:t>
      </w:r>
      <w:r>
        <w:t>standalone projects. At present, 45% of projects are co-financed</w:t>
      </w:r>
      <w:r w:rsidR="008254A0">
        <w:t xml:space="preserve">, and in the </w:t>
      </w:r>
      <w:r>
        <w:t>almost four years since the ESF was adopted, it has been applicable to less than half of the bank’s portfolio. There is, however, a clear trend towards standalone projects. In its first year, the AIIB approved just two standalone projects. This increased to four in 2017, six the following year, and sixteen in 2019. The bank has also approved nine financial intermediary projects that apply AIIB safeguard policies.</w:t>
      </w:r>
      <w:r w:rsidR="00FD7F27">
        <w:t xml:space="preserve"> </w:t>
      </w:r>
      <w:r w:rsidR="004C5BD0">
        <w:t>In t</w:t>
      </w:r>
      <w:r w:rsidR="00FD7F27">
        <w:t xml:space="preserve">he current </w:t>
      </w:r>
      <w:r w:rsidR="004C5BD0">
        <w:t xml:space="preserve">proposed project pipeline, </w:t>
      </w:r>
      <w:r>
        <w:t>standalone</w:t>
      </w:r>
      <w:r w:rsidR="004C5BD0">
        <w:t xml:space="preserve"> project</w:t>
      </w:r>
      <w:r>
        <w:t xml:space="preserve">s account for 75% of </w:t>
      </w:r>
      <w:r w:rsidR="004C5BD0">
        <w:t>all</w:t>
      </w:r>
      <w:r>
        <w:t xml:space="preserve"> projects</w:t>
      </w:r>
      <w:r w:rsidR="00EC2A8B">
        <w:t xml:space="preserve">. </w:t>
      </w:r>
      <w:r>
        <w:t xml:space="preserve">Alongside this shift, it is striking that there is an increase in the number of proposed standalone projects that have </w:t>
      </w:r>
      <w:r w:rsidR="00ED59AC">
        <w:t>been classified as</w:t>
      </w:r>
      <w:r>
        <w:t xml:space="preserve"> category A. </w:t>
      </w:r>
    </w:p>
    <w:p w14:paraId="731D939B" w14:textId="77777777" w:rsidR="009279CE" w:rsidRDefault="009279CE" w:rsidP="009279CE">
      <w:pPr>
        <w:jc w:val="both"/>
      </w:pPr>
    </w:p>
    <w:p w14:paraId="35630B10" w14:textId="584D2ABB" w:rsidR="009279CE" w:rsidRPr="0085291D" w:rsidRDefault="009279CE" w:rsidP="009279CE">
      <w:pPr>
        <w:jc w:val="both"/>
      </w:pPr>
      <w:r w:rsidRPr="0085291D">
        <w:t>With the bank</w:t>
      </w:r>
      <w:r w:rsidR="00B348DA">
        <w:t xml:space="preserve">’s approval of </w:t>
      </w:r>
      <w:r w:rsidRPr="0085291D">
        <w:t xml:space="preserve">more standalone projects, the ESF and the bank’s capacity to </w:t>
      </w:r>
      <w:r w:rsidR="00B348DA">
        <w:t xml:space="preserve">ensure its </w:t>
      </w:r>
      <w:r w:rsidRPr="0085291D">
        <w:t>implement</w:t>
      </w:r>
      <w:r w:rsidR="00B348DA">
        <w:t>ation</w:t>
      </w:r>
      <w:r w:rsidRPr="0085291D">
        <w:t xml:space="preserve"> will be put to the test. </w:t>
      </w:r>
      <w:r w:rsidR="00B348DA">
        <w:t xml:space="preserve">We recommend that, in addition to </w:t>
      </w:r>
      <w:r w:rsidRPr="0085291D">
        <w:t xml:space="preserve">strengthening the framework, </w:t>
      </w:r>
      <w:r w:rsidR="00B348DA">
        <w:t xml:space="preserve">AIIB </w:t>
      </w:r>
      <w:r w:rsidRPr="0085291D">
        <w:t xml:space="preserve">expand </w:t>
      </w:r>
      <w:r w:rsidR="00B348DA">
        <w:t xml:space="preserve">its </w:t>
      </w:r>
      <w:r w:rsidRPr="0085291D">
        <w:t xml:space="preserve">team of environmental and social </w:t>
      </w:r>
      <w:r w:rsidR="00B348DA">
        <w:t xml:space="preserve">specialists </w:t>
      </w:r>
      <w:r w:rsidRPr="0085291D">
        <w:t xml:space="preserve">responsible for assessing </w:t>
      </w:r>
      <w:r w:rsidR="00B348DA">
        <w:t xml:space="preserve">proposed </w:t>
      </w:r>
      <w:r w:rsidRPr="0085291D">
        <w:t>projects, supporting clients</w:t>
      </w:r>
      <w:r w:rsidR="00B348DA">
        <w:t xml:space="preserve"> to implement the ESF</w:t>
      </w:r>
      <w:r w:rsidRPr="0085291D">
        <w:t xml:space="preserve">, and </w:t>
      </w:r>
      <w:r w:rsidR="00CE54CF" w:rsidRPr="0085291D">
        <w:t>monitoring</w:t>
      </w:r>
      <w:r w:rsidR="00B348DA">
        <w:t xml:space="preserve"> </w:t>
      </w:r>
      <w:r w:rsidRPr="0085291D">
        <w:t xml:space="preserve">their </w:t>
      </w:r>
      <w:r w:rsidR="00B348DA">
        <w:t xml:space="preserve">environmental and social </w:t>
      </w:r>
      <w:r w:rsidRPr="0085291D">
        <w:t xml:space="preserve">performance. </w:t>
      </w:r>
    </w:p>
    <w:p w14:paraId="33AC33CA" w14:textId="77777777" w:rsidR="009279CE" w:rsidRDefault="009279CE" w:rsidP="009279CE">
      <w:pPr>
        <w:jc w:val="both"/>
        <w:rPr>
          <w:i/>
          <w:iCs/>
        </w:rPr>
      </w:pPr>
    </w:p>
    <w:p w14:paraId="4B8FA474" w14:textId="6EF7B48E" w:rsidR="009279CE" w:rsidRDefault="00B13068" w:rsidP="00C1604B">
      <w:pPr>
        <w:rPr>
          <w:b/>
          <w:bCs/>
        </w:rPr>
      </w:pPr>
      <w:r>
        <w:rPr>
          <w:b/>
          <w:bCs/>
        </w:rPr>
        <w:t>4</w:t>
      </w:r>
      <w:r w:rsidR="00DB472F">
        <w:rPr>
          <w:b/>
          <w:bCs/>
        </w:rPr>
        <w:t xml:space="preserve">. </w:t>
      </w:r>
      <w:r w:rsidR="000B4C65">
        <w:rPr>
          <w:b/>
          <w:bCs/>
        </w:rPr>
        <w:t>Involuntary r</w:t>
      </w:r>
      <w:r w:rsidR="00DB472F">
        <w:rPr>
          <w:b/>
          <w:bCs/>
        </w:rPr>
        <w:t>esettlement</w:t>
      </w:r>
    </w:p>
    <w:p w14:paraId="2F786FAA" w14:textId="3A60A82C" w:rsidR="00B37F2D" w:rsidRDefault="00B37F2D" w:rsidP="00DB472F">
      <w:pPr>
        <w:jc w:val="both"/>
        <w:rPr>
          <w:b/>
          <w:bCs/>
        </w:rPr>
      </w:pPr>
    </w:p>
    <w:p w14:paraId="6989A0F7" w14:textId="6E1DFFAD" w:rsidR="0065205C" w:rsidRDefault="00114AF3" w:rsidP="00FA2666">
      <w:pPr>
        <w:jc w:val="both"/>
      </w:pPr>
      <w:r>
        <w:t>NGOs monitoring the implementation of AIIB projects have begun to document concerns associated with specific projects</w:t>
      </w:r>
      <w:r w:rsidR="00FA2666">
        <w:t>;</w:t>
      </w:r>
      <w:r>
        <w:t xml:space="preserve"> </w:t>
      </w:r>
      <w:r w:rsidR="001E0C10">
        <w:t xml:space="preserve">however, given the </w:t>
      </w:r>
      <w:r w:rsidR="00095EBE">
        <w:t xml:space="preserve">fact that the bank focused </w:t>
      </w:r>
      <w:r w:rsidR="002D1A2A">
        <w:t xml:space="preserve">largely </w:t>
      </w:r>
      <w:r w:rsidR="00095EBE">
        <w:t xml:space="preserve">on </w:t>
      </w:r>
      <w:r w:rsidR="002D1A2A">
        <w:t xml:space="preserve">co-financed projects in its early years, there </w:t>
      </w:r>
      <w:r w:rsidR="00CD2BC7">
        <w:t xml:space="preserve">is </w:t>
      </w:r>
      <w:r w:rsidR="00FA2666">
        <w:t xml:space="preserve">so far </w:t>
      </w:r>
      <w:r w:rsidR="00CD2BC7">
        <w:t xml:space="preserve">a relatively small </w:t>
      </w:r>
      <w:r w:rsidR="003107E2">
        <w:t>set of case studies</w:t>
      </w:r>
      <w:r w:rsidR="00DE2744">
        <w:t xml:space="preserve">. We acknowledge that this represents challenges for the AIIB as it goes into the ESF review process, but the case studies that are available and have been shared with the </w:t>
      </w:r>
      <w:r w:rsidR="00A11EEA">
        <w:t xml:space="preserve">bank provide </w:t>
      </w:r>
      <w:r w:rsidR="00FA2666">
        <w:t xml:space="preserve">important </w:t>
      </w:r>
      <w:r w:rsidR="00A11EEA">
        <w:t xml:space="preserve">data on some of the shortcomings in </w:t>
      </w:r>
      <w:r w:rsidR="000B0D84">
        <w:t xml:space="preserve">ESF implementation on the ground. </w:t>
      </w:r>
      <w:r w:rsidR="0022740C">
        <w:t xml:space="preserve">This includes the Bhola gas power plant in Bangladesh, </w:t>
      </w:r>
      <w:r w:rsidR="00C324BD">
        <w:t>where NGOs have</w:t>
      </w:r>
      <w:r w:rsidR="0022740C">
        <w:t xml:space="preserve"> </w:t>
      </w:r>
      <w:r w:rsidR="00BF211C">
        <w:t>documented</w:t>
      </w:r>
      <w:r w:rsidR="00F47003">
        <w:t xml:space="preserve"> evidence that local people were pressured to sell land, </w:t>
      </w:r>
      <w:r w:rsidR="00FE48C4">
        <w:t>compensation rates were unclear and inconsistent, and</w:t>
      </w:r>
      <w:r w:rsidR="007C10EE">
        <w:t xml:space="preserve"> potentially fraudulent</w:t>
      </w:r>
      <w:r w:rsidR="00FE48C4">
        <w:t xml:space="preserve"> land</w:t>
      </w:r>
      <w:r w:rsidR="007C10EE">
        <w:t xml:space="preserve"> claims were made by </w:t>
      </w:r>
      <w:r w:rsidR="00E46788">
        <w:t>individuals unknown to the affected communities</w:t>
      </w:r>
      <w:r w:rsidR="0022740C">
        <w:t>.</w:t>
      </w:r>
      <w:r w:rsidR="0065205C">
        <w:rPr>
          <w:rStyle w:val="FootnoteReference"/>
        </w:rPr>
        <w:footnoteReference w:id="1"/>
      </w:r>
      <w:r w:rsidR="0065205C">
        <w:t xml:space="preserve"> We urge the bank to carefully review </w:t>
      </w:r>
      <w:r w:rsidR="00F7291A">
        <w:t xml:space="preserve">available </w:t>
      </w:r>
      <w:r w:rsidR="0065205C">
        <w:t>case studies and ensure that lessons learned</w:t>
      </w:r>
      <w:r w:rsidR="00FA2666">
        <w:t xml:space="preserve"> from</w:t>
      </w:r>
      <w:r w:rsidR="0065205C">
        <w:t xml:space="preserve"> these cases </w:t>
      </w:r>
      <w:r w:rsidR="00B47DB3">
        <w:t>are</w:t>
      </w:r>
      <w:r w:rsidR="0065205C">
        <w:t xml:space="preserve"> reflected in the ESF review.</w:t>
      </w:r>
    </w:p>
    <w:p w14:paraId="40CB7BB2" w14:textId="77777777" w:rsidR="0065205C" w:rsidRDefault="0065205C" w:rsidP="00DB472F">
      <w:pPr>
        <w:jc w:val="both"/>
      </w:pPr>
    </w:p>
    <w:p w14:paraId="40F6E0B3" w14:textId="5D63E244" w:rsidR="008B1448" w:rsidRDefault="00FA2666" w:rsidP="0065205C">
      <w:pPr>
        <w:jc w:val="both"/>
        <w:rPr>
          <w:rFonts w:cs="Times New Roman"/>
        </w:rPr>
      </w:pPr>
      <w:r>
        <w:t xml:space="preserve">Beyond </w:t>
      </w:r>
      <w:r w:rsidR="002B41AC">
        <w:t xml:space="preserve">direct </w:t>
      </w:r>
      <w:r w:rsidR="00DC5AC2">
        <w:t xml:space="preserve">AIIB </w:t>
      </w:r>
      <w:r w:rsidR="00020398">
        <w:t>project</w:t>
      </w:r>
      <w:r w:rsidR="00DC5AC2">
        <w:t xml:space="preserve"> experience, t</w:t>
      </w:r>
      <w:r w:rsidR="0065205C" w:rsidRPr="0065205C">
        <w:t xml:space="preserve">he significant environmental and social impacts associated with large-scale </w:t>
      </w:r>
      <w:r w:rsidR="002B41AC">
        <w:t>infrastructure</w:t>
      </w:r>
      <w:r w:rsidR="0065205C" w:rsidRPr="0065205C">
        <w:t xml:space="preserve"> projects are well-documented, and valuable lessons have been learned in the implementation of such projects at other multilateral banks.</w:t>
      </w:r>
      <w:r w:rsidR="003F4EA5">
        <w:t xml:space="preserve"> </w:t>
      </w:r>
      <w:r w:rsidR="0065205C">
        <w:rPr>
          <w:rFonts w:cs="Times New Roman"/>
        </w:rPr>
        <w:t xml:space="preserve">It is now </w:t>
      </w:r>
      <w:r w:rsidR="0065205C">
        <w:rPr>
          <w:rFonts w:cs="Times New Roman"/>
        </w:rPr>
        <w:lastRenderedPageBreak/>
        <w:t>well recognized that any international finance institution committed to sustainable development must have in place robust policies and procedures to safeguard against the devastating impacts of physical and economic displacement.</w:t>
      </w:r>
    </w:p>
    <w:p w14:paraId="41585231" w14:textId="77777777" w:rsidR="008B1448" w:rsidRDefault="008B1448" w:rsidP="0065205C">
      <w:pPr>
        <w:jc w:val="both"/>
        <w:rPr>
          <w:rFonts w:cs="Times New Roman"/>
        </w:rPr>
      </w:pPr>
    </w:p>
    <w:p w14:paraId="4414EF1D" w14:textId="5BEC3D31" w:rsidR="00257229" w:rsidRDefault="00151ABC" w:rsidP="008B1448">
      <w:pPr>
        <w:jc w:val="both"/>
        <w:rPr>
          <w:rFonts w:cs="Times New Roman"/>
        </w:rPr>
      </w:pPr>
      <w:r>
        <w:rPr>
          <w:rFonts w:cs="Times New Roman"/>
        </w:rPr>
        <w:t xml:space="preserve">The </w:t>
      </w:r>
      <w:r w:rsidR="00BD4D39">
        <w:rPr>
          <w:rFonts w:cs="Times New Roman"/>
        </w:rPr>
        <w:t xml:space="preserve">risk remains that the </w:t>
      </w:r>
      <w:r w:rsidR="00A707F0">
        <w:rPr>
          <w:rFonts w:cs="Times New Roman"/>
        </w:rPr>
        <w:t xml:space="preserve">objectives of </w:t>
      </w:r>
      <w:r>
        <w:rPr>
          <w:rFonts w:cs="Times New Roman"/>
        </w:rPr>
        <w:t xml:space="preserve">ESS 2 </w:t>
      </w:r>
      <w:r w:rsidR="008B1448">
        <w:rPr>
          <w:rFonts w:cs="Times New Roman"/>
        </w:rPr>
        <w:t xml:space="preserve">on involuntary resettlement </w:t>
      </w:r>
      <w:r>
        <w:rPr>
          <w:rFonts w:cs="Times New Roman"/>
        </w:rPr>
        <w:t xml:space="preserve">will not be met in practice without significantly stronger and more detailed requirements than those </w:t>
      </w:r>
      <w:r w:rsidR="002B41AC">
        <w:rPr>
          <w:rFonts w:cs="Times New Roman"/>
        </w:rPr>
        <w:t xml:space="preserve">it currently </w:t>
      </w:r>
      <w:r>
        <w:rPr>
          <w:rFonts w:cs="Times New Roman"/>
        </w:rPr>
        <w:t>contain</w:t>
      </w:r>
      <w:r w:rsidR="002B41AC">
        <w:rPr>
          <w:rFonts w:cs="Times New Roman"/>
        </w:rPr>
        <w:t>s</w:t>
      </w:r>
      <w:r>
        <w:rPr>
          <w:rFonts w:cs="Times New Roman"/>
        </w:rPr>
        <w:t xml:space="preserve">. </w:t>
      </w:r>
      <w:r w:rsidR="00BD4D39">
        <w:rPr>
          <w:rFonts w:cs="Times New Roman"/>
        </w:rPr>
        <w:t>For example:</w:t>
      </w:r>
    </w:p>
    <w:p w14:paraId="563CCDD4" w14:textId="77777777" w:rsidR="00BD4D39" w:rsidRPr="008B1448" w:rsidRDefault="00BD4D39" w:rsidP="008B1448">
      <w:pPr>
        <w:rPr>
          <w:rFonts w:cs="Times New Roman"/>
          <w:szCs w:val="24"/>
        </w:rPr>
      </w:pPr>
    </w:p>
    <w:p w14:paraId="25128810" w14:textId="10F46F9F" w:rsidR="00BD4D39" w:rsidRDefault="00BD4D39" w:rsidP="008B1448">
      <w:pPr>
        <w:pStyle w:val="ListParagraph"/>
        <w:numPr>
          <w:ilvl w:val="0"/>
          <w:numId w:val="1"/>
        </w:numPr>
        <w:ind w:left="360"/>
        <w:jc w:val="both"/>
        <w:rPr>
          <w:rFonts w:ascii="Times New Roman" w:hAnsi="Times New Roman" w:cs="Times New Roman"/>
          <w:sz w:val="24"/>
          <w:szCs w:val="24"/>
        </w:rPr>
      </w:pPr>
      <w:r w:rsidRPr="008B1448">
        <w:rPr>
          <w:rFonts w:ascii="Times New Roman" w:hAnsi="Times New Roman" w:cs="Times New Roman"/>
          <w:sz w:val="24"/>
          <w:szCs w:val="24"/>
        </w:rPr>
        <w:t xml:space="preserve">While ESS 2 requires clients to improve or at least restore the land-based livelihoods of displaced persons through land-based resettlement where possible, it does not </w:t>
      </w:r>
      <w:r w:rsidR="008B1448">
        <w:rPr>
          <w:rFonts w:ascii="Times New Roman" w:hAnsi="Times New Roman" w:cs="Times New Roman"/>
          <w:sz w:val="24"/>
          <w:szCs w:val="24"/>
        </w:rPr>
        <w:t xml:space="preserve">explicitly </w:t>
      </w:r>
      <w:r w:rsidRPr="008B1448">
        <w:rPr>
          <w:rFonts w:ascii="Times New Roman" w:hAnsi="Times New Roman" w:cs="Times New Roman"/>
          <w:sz w:val="24"/>
          <w:szCs w:val="24"/>
        </w:rPr>
        <w:t>stipulate that replacement land must be of equal or higher quality and productive value as land taken. This detail is critical to preventing impoverishment that so often occurs when</w:t>
      </w:r>
      <w:r w:rsidR="008B1448">
        <w:rPr>
          <w:rFonts w:ascii="Times New Roman" w:hAnsi="Times New Roman" w:cs="Times New Roman"/>
          <w:sz w:val="24"/>
          <w:szCs w:val="24"/>
        </w:rPr>
        <w:t xml:space="preserve">, for example, </w:t>
      </w:r>
      <w:r w:rsidRPr="008B1448">
        <w:rPr>
          <w:rFonts w:ascii="Times New Roman" w:hAnsi="Times New Roman" w:cs="Times New Roman"/>
          <w:sz w:val="24"/>
          <w:szCs w:val="24"/>
        </w:rPr>
        <w:t xml:space="preserve">displaced farmers are resettled to inferior land that is infertile or otherwise unproductive.  </w:t>
      </w:r>
    </w:p>
    <w:p w14:paraId="4E28A26C" w14:textId="77777777" w:rsidR="008B1448" w:rsidRPr="008B1448" w:rsidRDefault="008B1448" w:rsidP="008B1448">
      <w:pPr>
        <w:pStyle w:val="ListParagraph"/>
        <w:ind w:left="360"/>
        <w:jc w:val="both"/>
        <w:rPr>
          <w:rFonts w:ascii="Times New Roman" w:hAnsi="Times New Roman" w:cs="Times New Roman"/>
          <w:sz w:val="24"/>
          <w:szCs w:val="24"/>
        </w:rPr>
      </w:pPr>
    </w:p>
    <w:p w14:paraId="7226030C" w14:textId="0C6AF30B" w:rsidR="00257229" w:rsidRDefault="00BD4D39" w:rsidP="008B1448">
      <w:pPr>
        <w:pStyle w:val="ListParagraph"/>
        <w:numPr>
          <w:ilvl w:val="0"/>
          <w:numId w:val="1"/>
        </w:numPr>
        <w:ind w:left="360"/>
        <w:jc w:val="both"/>
        <w:rPr>
          <w:rFonts w:ascii="Times New Roman" w:hAnsi="Times New Roman" w:cs="Times New Roman"/>
          <w:sz w:val="24"/>
          <w:szCs w:val="24"/>
        </w:rPr>
      </w:pPr>
      <w:r w:rsidRPr="008B1448">
        <w:rPr>
          <w:rFonts w:ascii="Times New Roman" w:hAnsi="Times New Roman" w:cs="Times New Roman"/>
          <w:sz w:val="24"/>
          <w:szCs w:val="24"/>
        </w:rPr>
        <w:t>While ESS 2 requires that resettlement sites have “comparable access to employment and productive opportunities”, it should stipulate that the livelihood opportunities must match the skill-base of those being displaced. For example, affected urban families skilled at running small retail businesses should not be resettled to farming plots on the outskirts of the city or areas where employment in factories is the only option. Fisher folk should not be resettled to areas where agriculture is the only economic opportunity. Additionally, ESS 2 lacks instructive detail on livelihood support to be provided to displaced persons in order to restore or improve their livelihoods</w:t>
      </w:r>
    </w:p>
    <w:p w14:paraId="02DFDA22" w14:textId="77777777" w:rsidR="008B1448" w:rsidRPr="008B1448" w:rsidRDefault="008B1448" w:rsidP="008B1448">
      <w:pPr>
        <w:jc w:val="both"/>
        <w:rPr>
          <w:rFonts w:cs="Times New Roman"/>
          <w:szCs w:val="24"/>
        </w:rPr>
      </w:pPr>
    </w:p>
    <w:p w14:paraId="613EF5FB" w14:textId="71757CA2" w:rsidR="007F39A0" w:rsidRDefault="008B1448" w:rsidP="008B1448">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In line with best practice at other institutions, </w:t>
      </w:r>
      <w:r w:rsidR="006A54B2" w:rsidRPr="008B1448">
        <w:rPr>
          <w:rFonts w:ascii="Times New Roman" w:hAnsi="Times New Roman" w:cs="Times New Roman"/>
          <w:sz w:val="24"/>
          <w:szCs w:val="24"/>
        </w:rPr>
        <w:t xml:space="preserve">Resettlement Action Plans, resettlement costs and budgets should be prepared and disclosed in advance </w:t>
      </w:r>
      <w:r w:rsidR="005E7333" w:rsidRPr="008B1448">
        <w:rPr>
          <w:rFonts w:ascii="Times New Roman" w:hAnsi="Times New Roman" w:cs="Times New Roman"/>
          <w:sz w:val="24"/>
          <w:szCs w:val="24"/>
        </w:rPr>
        <w:t>of Board approval of a project</w:t>
      </w:r>
      <w:r w:rsidR="00E2015B">
        <w:rPr>
          <w:rFonts w:ascii="Times New Roman" w:hAnsi="Times New Roman" w:cs="Times New Roman"/>
          <w:sz w:val="24"/>
          <w:szCs w:val="24"/>
        </w:rPr>
        <w:t>.</w:t>
      </w:r>
      <w:r w:rsidR="005E7333" w:rsidRPr="008B1448">
        <w:rPr>
          <w:rFonts w:ascii="Times New Roman" w:hAnsi="Times New Roman" w:cs="Times New Roman"/>
          <w:sz w:val="24"/>
          <w:szCs w:val="24"/>
        </w:rPr>
        <w:t xml:space="preserve"> </w:t>
      </w:r>
      <w:r w:rsidR="00E2015B">
        <w:rPr>
          <w:rFonts w:ascii="Times New Roman" w:hAnsi="Times New Roman" w:cs="Times New Roman"/>
          <w:sz w:val="24"/>
          <w:szCs w:val="24"/>
        </w:rPr>
        <w:t>For example, t</w:t>
      </w:r>
      <w:r w:rsidR="006A54B2" w:rsidRPr="008B1448">
        <w:rPr>
          <w:rFonts w:ascii="Times New Roman" w:hAnsi="Times New Roman" w:cs="Times New Roman"/>
          <w:sz w:val="24"/>
          <w:szCs w:val="24"/>
        </w:rPr>
        <w:t xml:space="preserve">he Green Climate Fund requires 120 </w:t>
      </w:r>
      <w:r w:rsidR="002B41AC">
        <w:rPr>
          <w:rFonts w:ascii="Times New Roman" w:hAnsi="Times New Roman" w:cs="Times New Roman"/>
          <w:sz w:val="24"/>
          <w:szCs w:val="24"/>
        </w:rPr>
        <w:t>days’</w:t>
      </w:r>
      <w:r w:rsidR="002B41AC" w:rsidRPr="008B1448">
        <w:rPr>
          <w:rFonts w:ascii="Times New Roman" w:hAnsi="Times New Roman" w:cs="Times New Roman"/>
          <w:sz w:val="24"/>
          <w:szCs w:val="24"/>
        </w:rPr>
        <w:t xml:space="preserve"> notice</w:t>
      </w:r>
      <w:r w:rsidR="006A54B2" w:rsidRPr="008B1448">
        <w:rPr>
          <w:rFonts w:ascii="Times New Roman" w:hAnsi="Times New Roman" w:cs="Times New Roman"/>
          <w:sz w:val="24"/>
          <w:szCs w:val="24"/>
        </w:rPr>
        <w:t xml:space="preserve"> for high risk and 30 </w:t>
      </w:r>
      <w:r w:rsidR="00BD4D39" w:rsidRPr="008B1448">
        <w:rPr>
          <w:rFonts w:ascii="Times New Roman" w:hAnsi="Times New Roman" w:cs="Times New Roman"/>
          <w:sz w:val="24"/>
          <w:szCs w:val="24"/>
        </w:rPr>
        <w:t>days for lower risk projects.</w:t>
      </w:r>
    </w:p>
    <w:p w14:paraId="65D4E53E" w14:textId="77777777" w:rsidR="008B1448" w:rsidRPr="008B1448" w:rsidRDefault="008B1448" w:rsidP="008B1448">
      <w:pPr>
        <w:pStyle w:val="ListParagraph"/>
        <w:rPr>
          <w:rFonts w:cs="Times New Roman"/>
          <w:szCs w:val="24"/>
        </w:rPr>
      </w:pPr>
    </w:p>
    <w:p w14:paraId="527E9726" w14:textId="4ED59A33" w:rsidR="007B4564" w:rsidRPr="008B1448" w:rsidRDefault="00E90F49" w:rsidP="008B1448">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Under the current </w:t>
      </w:r>
      <w:r w:rsidR="006A54B2" w:rsidRPr="008B1448">
        <w:rPr>
          <w:rFonts w:ascii="Times New Roman" w:hAnsi="Times New Roman" w:cs="Times New Roman"/>
          <w:sz w:val="24"/>
          <w:szCs w:val="24"/>
        </w:rPr>
        <w:t>ESF</w:t>
      </w:r>
      <w:r w:rsidR="009E2033">
        <w:rPr>
          <w:rFonts w:ascii="Times New Roman" w:hAnsi="Times New Roman" w:cs="Times New Roman"/>
          <w:sz w:val="24"/>
          <w:szCs w:val="24"/>
        </w:rPr>
        <w:t>,</w:t>
      </w:r>
      <w:r w:rsidR="006A54B2" w:rsidRPr="008B1448">
        <w:rPr>
          <w:rFonts w:ascii="Times New Roman" w:hAnsi="Times New Roman" w:cs="Times New Roman"/>
          <w:sz w:val="24"/>
          <w:szCs w:val="24"/>
        </w:rPr>
        <w:t xml:space="preserve"> protections apply to Category A projects </w:t>
      </w:r>
      <w:r w:rsidR="009E2033">
        <w:rPr>
          <w:rFonts w:ascii="Times New Roman" w:hAnsi="Times New Roman" w:cs="Times New Roman"/>
          <w:sz w:val="24"/>
          <w:szCs w:val="24"/>
        </w:rPr>
        <w:t>but only on a</w:t>
      </w:r>
      <w:r w:rsidR="009E2033" w:rsidRPr="008B1448">
        <w:rPr>
          <w:rFonts w:ascii="Times New Roman" w:hAnsi="Times New Roman" w:cs="Times New Roman"/>
          <w:sz w:val="24"/>
          <w:szCs w:val="24"/>
        </w:rPr>
        <w:t xml:space="preserve"> </w:t>
      </w:r>
      <w:r w:rsidR="006A54B2" w:rsidRPr="008B1448">
        <w:rPr>
          <w:rFonts w:ascii="Times New Roman" w:hAnsi="Times New Roman" w:cs="Times New Roman"/>
          <w:sz w:val="24"/>
          <w:szCs w:val="24"/>
        </w:rPr>
        <w:t xml:space="preserve">“case by case basis” </w:t>
      </w:r>
      <w:r w:rsidR="002B41AC">
        <w:rPr>
          <w:rFonts w:ascii="Times New Roman" w:hAnsi="Times New Roman" w:cs="Times New Roman"/>
          <w:sz w:val="24"/>
          <w:szCs w:val="24"/>
        </w:rPr>
        <w:t>for</w:t>
      </w:r>
      <w:r w:rsidR="002B41AC" w:rsidRPr="008B1448">
        <w:rPr>
          <w:rFonts w:ascii="Times New Roman" w:hAnsi="Times New Roman" w:cs="Times New Roman"/>
          <w:sz w:val="24"/>
          <w:szCs w:val="24"/>
        </w:rPr>
        <w:t xml:space="preserve"> </w:t>
      </w:r>
      <w:r w:rsidR="006A54B2" w:rsidRPr="008B1448">
        <w:rPr>
          <w:rFonts w:ascii="Times New Roman" w:hAnsi="Times New Roman" w:cs="Times New Roman"/>
          <w:sz w:val="24"/>
          <w:szCs w:val="24"/>
        </w:rPr>
        <w:t xml:space="preserve">Category B projects. </w:t>
      </w:r>
      <w:r w:rsidR="007F39A0" w:rsidRPr="008B1448">
        <w:rPr>
          <w:rFonts w:ascii="Times New Roman" w:hAnsi="Times New Roman" w:cs="Times New Roman"/>
          <w:sz w:val="24"/>
          <w:szCs w:val="24"/>
        </w:rPr>
        <w:t>Category B projects by definition still have adverse impacts</w:t>
      </w:r>
      <w:r w:rsidR="002B41AC">
        <w:rPr>
          <w:rFonts w:ascii="Times New Roman" w:hAnsi="Times New Roman" w:cs="Times New Roman"/>
          <w:sz w:val="24"/>
          <w:szCs w:val="24"/>
        </w:rPr>
        <w:t xml:space="preserve"> on land and livelihoods</w:t>
      </w:r>
      <w:r w:rsidR="007F39A0" w:rsidRPr="008B1448">
        <w:rPr>
          <w:rFonts w:ascii="Times New Roman" w:hAnsi="Times New Roman" w:cs="Times New Roman"/>
          <w:sz w:val="24"/>
          <w:szCs w:val="24"/>
        </w:rPr>
        <w:t>, and thus the protections should apply.</w:t>
      </w:r>
      <w:r w:rsidR="009E2033">
        <w:rPr>
          <w:rFonts w:ascii="Times New Roman" w:hAnsi="Times New Roman" w:cs="Times New Roman"/>
          <w:sz w:val="24"/>
          <w:szCs w:val="24"/>
        </w:rPr>
        <w:t xml:space="preserve"> As was the case in the Bhola project, </w:t>
      </w:r>
      <w:proofErr w:type="spellStart"/>
      <w:r w:rsidR="009E2033">
        <w:rPr>
          <w:rFonts w:ascii="Times New Roman" w:hAnsi="Times New Roman" w:cs="Times New Roman"/>
          <w:sz w:val="24"/>
          <w:szCs w:val="24"/>
        </w:rPr>
        <w:t>miscategorization</w:t>
      </w:r>
      <w:proofErr w:type="spellEnd"/>
      <w:r w:rsidR="009E2033">
        <w:rPr>
          <w:rFonts w:ascii="Times New Roman" w:hAnsi="Times New Roman" w:cs="Times New Roman"/>
          <w:sz w:val="24"/>
          <w:szCs w:val="24"/>
        </w:rPr>
        <w:t xml:space="preserve"> is a risk, </w:t>
      </w:r>
      <w:r w:rsidR="009E3B63">
        <w:rPr>
          <w:rFonts w:ascii="Times New Roman" w:hAnsi="Times New Roman" w:cs="Times New Roman"/>
          <w:sz w:val="24"/>
          <w:szCs w:val="24"/>
        </w:rPr>
        <w:t>and this can be avoided by applying provisions of the ESF to both category A and category B projects</w:t>
      </w:r>
      <w:r w:rsidR="00B60B95" w:rsidRPr="008B1448">
        <w:rPr>
          <w:rFonts w:ascii="Times New Roman" w:hAnsi="Times New Roman" w:cs="Times New Roman"/>
          <w:sz w:val="24"/>
          <w:szCs w:val="24"/>
        </w:rPr>
        <w:t>.</w:t>
      </w:r>
    </w:p>
    <w:p w14:paraId="5BB26803" w14:textId="77777777" w:rsidR="00E12BAE" w:rsidRPr="00E12BAE" w:rsidRDefault="00E12BAE" w:rsidP="00E12BAE">
      <w:pPr>
        <w:jc w:val="both"/>
        <w:rPr>
          <w:rFonts w:cs="Times New Roman"/>
          <w:szCs w:val="24"/>
        </w:rPr>
      </w:pPr>
    </w:p>
    <w:p w14:paraId="664D30E0" w14:textId="77777777" w:rsidR="00E12BAE" w:rsidRPr="00E74283" w:rsidRDefault="00E12BAE" w:rsidP="00E12BAE">
      <w:pPr>
        <w:jc w:val="both"/>
        <w:rPr>
          <w:rFonts w:cs="Times New Roman"/>
          <w:b/>
          <w:bCs/>
          <w:szCs w:val="24"/>
        </w:rPr>
      </w:pPr>
      <w:r w:rsidRPr="00E74283">
        <w:rPr>
          <w:rFonts w:cs="Times New Roman"/>
          <w:b/>
          <w:bCs/>
          <w:szCs w:val="24"/>
        </w:rPr>
        <w:t>5. Indigenous Peoples</w:t>
      </w:r>
    </w:p>
    <w:p w14:paraId="3A58EFE5" w14:textId="77777777" w:rsidR="00E12BAE" w:rsidRPr="00E12BAE" w:rsidRDefault="00E12BAE" w:rsidP="00E12BAE">
      <w:pPr>
        <w:jc w:val="both"/>
        <w:rPr>
          <w:rFonts w:cs="Times New Roman"/>
          <w:szCs w:val="24"/>
        </w:rPr>
      </w:pPr>
    </w:p>
    <w:p w14:paraId="00F7FAF6" w14:textId="72017348" w:rsidR="00E12BAE" w:rsidRPr="009E2033" w:rsidRDefault="00E12BAE" w:rsidP="00E12BAE">
      <w:pPr>
        <w:jc w:val="both"/>
        <w:rPr>
          <w:rFonts w:cs="Times New Roman"/>
          <w:szCs w:val="24"/>
        </w:rPr>
      </w:pPr>
      <w:r w:rsidRPr="00E12BAE">
        <w:rPr>
          <w:rFonts w:cs="Times New Roman"/>
          <w:szCs w:val="24"/>
        </w:rPr>
        <w:t>The first draft of the ESF that was released in 2015 required that Free Prior Informed Consent (FPIC)</w:t>
      </w:r>
      <w:r w:rsidRPr="00E90F49">
        <w:rPr>
          <w:rFonts w:cs="Times New Roman"/>
          <w:szCs w:val="24"/>
        </w:rPr>
        <w:t xml:space="preserve"> must be obtained in cases where projects would impact upon the land an natural resources of indigenous peoples, cause their relocation or have significant impacts on their cultural heritage. In the final draft of the ESF adopted in 2016, this was diluted to Free Prior Informed Consultation (</w:t>
      </w:r>
      <w:proofErr w:type="spellStart"/>
      <w:r w:rsidRPr="009E2033">
        <w:rPr>
          <w:rFonts w:cs="Times New Roman"/>
          <w:szCs w:val="24"/>
        </w:rPr>
        <w:t>FPICon</w:t>
      </w:r>
      <w:proofErr w:type="spellEnd"/>
      <w:r w:rsidRPr="009E2033">
        <w:rPr>
          <w:rFonts w:cs="Times New Roman"/>
          <w:szCs w:val="24"/>
        </w:rPr>
        <w:t xml:space="preserve">). The ESF acknowledges that there is no internationally agreed definition of </w:t>
      </w:r>
      <w:proofErr w:type="spellStart"/>
      <w:r w:rsidRPr="009E2033">
        <w:rPr>
          <w:rFonts w:cs="Times New Roman"/>
          <w:szCs w:val="24"/>
        </w:rPr>
        <w:t>FPICon</w:t>
      </w:r>
      <w:proofErr w:type="spellEnd"/>
      <w:r w:rsidRPr="009E2033">
        <w:rPr>
          <w:rFonts w:cs="Times New Roman"/>
          <w:szCs w:val="24"/>
        </w:rPr>
        <w:t>, but it is widely believed by civil society groups and indigenous peoples’ movements to be a weaker standard than FP</w:t>
      </w:r>
      <w:r w:rsidR="00E624EF">
        <w:rPr>
          <w:rFonts w:cs="Times New Roman"/>
          <w:szCs w:val="24"/>
        </w:rPr>
        <w:t>I</w:t>
      </w:r>
      <w:r w:rsidRPr="009E2033">
        <w:rPr>
          <w:rFonts w:cs="Times New Roman"/>
          <w:szCs w:val="24"/>
        </w:rPr>
        <w:t xml:space="preserve">C. The review of the ESF creates an important opportunity to address this, and replace </w:t>
      </w:r>
      <w:proofErr w:type="spellStart"/>
      <w:r w:rsidRPr="009E2033">
        <w:rPr>
          <w:rFonts w:cs="Times New Roman"/>
          <w:szCs w:val="24"/>
        </w:rPr>
        <w:t>FPICon</w:t>
      </w:r>
      <w:proofErr w:type="spellEnd"/>
      <w:r w:rsidRPr="009E2033">
        <w:rPr>
          <w:rFonts w:cs="Times New Roman"/>
          <w:szCs w:val="24"/>
        </w:rPr>
        <w:t xml:space="preserve"> with the higher standard of FPIC, as used at other </w:t>
      </w:r>
      <w:r w:rsidR="00E624EF">
        <w:rPr>
          <w:rFonts w:cs="Times New Roman"/>
          <w:szCs w:val="24"/>
        </w:rPr>
        <w:t>institutions</w:t>
      </w:r>
      <w:r w:rsidRPr="009E2033">
        <w:rPr>
          <w:rFonts w:cs="Times New Roman"/>
          <w:szCs w:val="24"/>
        </w:rPr>
        <w:t xml:space="preserve">, such as the IFC. </w:t>
      </w:r>
    </w:p>
    <w:p w14:paraId="733A4CD2" w14:textId="46533595" w:rsidR="00E1336E" w:rsidRDefault="00E1336E">
      <w:pPr>
        <w:spacing w:after="160" w:line="259" w:lineRule="auto"/>
        <w:rPr>
          <w:rFonts w:cs="Times New Roman"/>
          <w:lang w:val="en-US"/>
        </w:rPr>
      </w:pPr>
      <w:r>
        <w:rPr>
          <w:rFonts w:cs="Times New Roman"/>
          <w:lang w:val="en-US"/>
        </w:rPr>
        <w:br w:type="page"/>
      </w:r>
    </w:p>
    <w:p w14:paraId="2CE2CC55" w14:textId="56BD7668" w:rsidR="0065205C" w:rsidRDefault="00B13068" w:rsidP="00C1604B">
      <w:pPr>
        <w:rPr>
          <w:b/>
          <w:bCs/>
        </w:rPr>
      </w:pPr>
      <w:r>
        <w:rPr>
          <w:b/>
          <w:bCs/>
        </w:rPr>
        <w:lastRenderedPageBreak/>
        <w:t>5</w:t>
      </w:r>
      <w:r w:rsidR="0065205C">
        <w:rPr>
          <w:b/>
          <w:bCs/>
        </w:rPr>
        <w:t xml:space="preserve">. Financial </w:t>
      </w:r>
      <w:r w:rsidR="00F77A4B">
        <w:rPr>
          <w:b/>
          <w:bCs/>
        </w:rPr>
        <w:t>Intermediaries</w:t>
      </w:r>
    </w:p>
    <w:p w14:paraId="24BD7B40" w14:textId="3B2B6855" w:rsidR="0065205C" w:rsidRDefault="0065205C" w:rsidP="00C1604B">
      <w:pPr>
        <w:rPr>
          <w:b/>
          <w:bCs/>
        </w:rPr>
      </w:pPr>
    </w:p>
    <w:p w14:paraId="13996D76" w14:textId="738984E5" w:rsidR="0065205C" w:rsidRDefault="00D03CC1" w:rsidP="00B37F2D">
      <w:pPr>
        <w:jc w:val="both"/>
      </w:pPr>
      <w:r>
        <w:t>F</w:t>
      </w:r>
      <w:r w:rsidR="0065205C">
        <w:t>inancial intermediary lending is</w:t>
      </w:r>
      <w:r>
        <w:t xml:space="preserve"> becoming</w:t>
      </w:r>
      <w:r w:rsidR="0065205C">
        <w:t xml:space="preserve"> an important part of the AIIB’s project portfolio. Currently, financial intermediary projects make up just under 20% of the AIIB project portfolio. Of these 12 projects, three are co-financed and follow the safeguard policies of other institutions. The remaining nine apply the AIIB’s ESF. However, the ESF contains only basic provisions for financial intermediary lending, lagging behind the policies and procedures of </w:t>
      </w:r>
      <w:r w:rsidR="00563042">
        <w:t>its</w:t>
      </w:r>
      <w:r w:rsidR="0065205C">
        <w:t xml:space="preserve"> peers. To date, intermediary lending has taken place in a somewhat ad hoc manner as the bank developed its approach, and no documents have yet been published that shed light on the bank’s assessment and monitoring processes for this type of lending.</w:t>
      </w:r>
    </w:p>
    <w:p w14:paraId="00090397" w14:textId="77777777" w:rsidR="0065205C" w:rsidRDefault="0065205C" w:rsidP="00B37F2D">
      <w:pPr>
        <w:jc w:val="both"/>
      </w:pPr>
    </w:p>
    <w:p w14:paraId="74DB6269" w14:textId="7DBC3462" w:rsidR="0065205C" w:rsidRDefault="0065205C" w:rsidP="00B37F2D">
      <w:pPr>
        <w:jc w:val="both"/>
      </w:pPr>
      <w:r w:rsidRPr="002F4CB2">
        <w:t xml:space="preserve">The ESF review represents an important opportunity to enhance the AIIB’s safeguards around financial intermediary lending. Other institutions, including the International Finance Corporation </w:t>
      </w:r>
      <w:r>
        <w:t>(IFC)</w:t>
      </w:r>
      <w:r w:rsidRPr="002F4CB2">
        <w:t xml:space="preserve">, have learned </w:t>
      </w:r>
      <w:r w:rsidRPr="003D4DB8">
        <w:t>difficult lessons</w:t>
      </w:r>
      <w:r w:rsidRPr="002F4CB2">
        <w:t xml:space="preserve"> about the risks of using a “hands-off” approach to financial intermediary lending</w:t>
      </w:r>
      <w:r>
        <w:t>, after it was revealed that the IFC was exposed to a range of harmful projects across the globe, including coal mines and coal plants.</w:t>
      </w:r>
      <w:r w:rsidR="00685651">
        <w:rPr>
          <w:rStyle w:val="FootnoteReference"/>
        </w:rPr>
        <w:footnoteReference w:id="2"/>
      </w:r>
      <w:r w:rsidRPr="002F4CB2">
        <w:t xml:space="preserve"> These lessons should be heeded and incorporated into the AIIB’s revised ESF.</w:t>
      </w:r>
      <w:r w:rsidR="005A3B4D">
        <w:t xml:space="preserve"> Inclusive Development International </w:t>
      </w:r>
      <w:r w:rsidR="00975334">
        <w:t xml:space="preserve">monitored the AIIB’s first </w:t>
      </w:r>
      <w:r w:rsidR="00A177E5">
        <w:t>financial intermediary project, the IFC Emerging Asia Fund</w:t>
      </w:r>
      <w:r w:rsidR="00BF1204">
        <w:t xml:space="preserve"> (EAF)</w:t>
      </w:r>
      <w:r w:rsidR="00A177E5">
        <w:t xml:space="preserve">, and although </w:t>
      </w:r>
      <w:r w:rsidR="00FA2666">
        <w:t>the fund</w:t>
      </w:r>
      <w:r w:rsidR="00A177E5">
        <w:t xml:space="preserve"> is managed by the IFC</w:t>
      </w:r>
      <w:r w:rsidR="00BE6316">
        <w:t xml:space="preserve"> and does not apply the AIIB’s ESF, it provides important lessons </w:t>
      </w:r>
      <w:r w:rsidR="005831E7">
        <w:t xml:space="preserve">on </w:t>
      </w:r>
      <w:r w:rsidR="00AE6FBF">
        <w:t>the</w:t>
      </w:r>
      <w:r w:rsidR="00C856C5">
        <w:t xml:space="preserve"> risks the AIIB </w:t>
      </w:r>
      <w:r w:rsidR="00AE6FBF">
        <w:t xml:space="preserve">will face in other </w:t>
      </w:r>
      <w:r w:rsidR="00BF1204">
        <w:t xml:space="preserve">such projects. </w:t>
      </w:r>
      <w:r w:rsidR="00FA2666">
        <w:t>W</w:t>
      </w:r>
      <w:r w:rsidR="00BF1204">
        <w:t xml:space="preserve">e documented a number of issues, including poor information disclosure on the part of one sub-project in Bangladesh, </w:t>
      </w:r>
      <w:r w:rsidR="00773469">
        <w:t xml:space="preserve">and exposure to coal mining and industrial </w:t>
      </w:r>
      <w:r w:rsidR="002F0994">
        <w:t xml:space="preserve">coal </w:t>
      </w:r>
      <w:r w:rsidR="00773469">
        <w:t>use</w:t>
      </w:r>
      <w:r w:rsidR="00502A12">
        <w:t xml:space="preserve">, </w:t>
      </w:r>
      <w:r w:rsidR="00954BF3">
        <w:t xml:space="preserve">poor </w:t>
      </w:r>
      <w:r w:rsidR="002F0994">
        <w:t xml:space="preserve">community </w:t>
      </w:r>
      <w:r w:rsidR="00954BF3">
        <w:t xml:space="preserve">consultation, </w:t>
      </w:r>
      <w:r w:rsidR="00502A12">
        <w:t>weak grievance mechanisms</w:t>
      </w:r>
      <w:r w:rsidR="00903FB1">
        <w:t xml:space="preserve"> and </w:t>
      </w:r>
      <w:r w:rsidR="002F0994">
        <w:t xml:space="preserve">unaddressed </w:t>
      </w:r>
      <w:r w:rsidR="00903FB1">
        <w:t xml:space="preserve">adverse environmental impacts </w:t>
      </w:r>
      <w:r w:rsidR="00FA2666">
        <w:t xml:space="preserve">of a </w:t>
      </w:r>
      <w:r w:rsidR="00E25C5D">
        <w:t>sub-project in Myanmar.</w:t>
      </w:r>
      <w:r w:rsidR="00E25C5D">
        <w:rPr>
          <w:rStyle w:val="FootnoteReference"/>
        </w:rPr>
        <w:footnoteReference w:id="3"/>
      </w:r>
    </w:p>
    <w:p w14:paraId="5BFACDFB" w14:textId="3FBD01EE" w:rsidR="003D4DB8" w:rsidRDefault="003D4DB8" w:rsidP="00B37F2D">
      <w:pPr>
        <w:jc w:val="both"/>
      </w:pPr>
    </w:p>
    <w:p w14:paraId="62AE56D7" w14:textId="039E8014" w:rsidR="00F10E0F" w:rsidRPr="00F10E0F" w:rsidRDefault="00F10E0F" w:rsidP="00F10E0F">
      <w:pPr>
        <w:jc w:val="both"/>
        <w:rPr>
          <w:rFonts w:cs="Times New Roman"/>
          <w:szCs w:val="24"/>
        </w:rPr>
      </w:pPr>
      <w:r w:rsidRPr="00F10E0F">
        <w:rPr>
          <w:rFonts w:cs="Times New Roman"/>
          <w:szCs w:val="24"/>
        </w:rPr>
        <w:t xml:space="preserve">Inclusive Development International and its partners has communicated with the AIIB several times over the past three years with specific concerns </w:t>
      </w:r>
      <w:r w:rsidRPr="00AA7D26">
        <w:rPr>
          <w:rFonts w:cs="Times New Roman"/>
          <w:szCs w:val="24"/>
        </w:rPr>
        <w:t>and recommendations regarding financial intermediary lending. These include</w:t>
      </w:r>
      <w:r w:rsidRPr="00F10E0F">
        <w:rPr>
          <w:rFonts w:cs="Times New Roman"/>
          <w:szCs w:val="24"/>
        </w:rPr>
        <w:t>:</w:t>
      </w:r>
    </w:p>
    <w:p w14:paraId="554671E3" w14:textId="77777777" w:rsidR="00F10E0F" w:rsidRPr="00F10E0F" w:rsidRDefault="00F10E0F" w:rsidP="00F10E0F">
      <w:pPr>
        <w:jc w:val="both"/>
        <w:rPr>
          <w:rFonts w:cs="Times New Roman"/>
          <w:szCs w:val="24"/>
        </w:rPr>
      </w:pPr>
    </w:p>
    <w:p w14:paraId="0A8BEE01" w14:textId="77777777" w:rsidR="00F10E0F" w:rsidRPr="00F10E0F" w:rsidRDefault="00F10E0F" w:rsidP="00F10E0F">
      <w:pPr>
        <w:pStyle w:val="ListParagraph"/>
        <w:numPr>
          <w:ilvl w:val="0"/>
          <w:numId w:val="8"/>
        </w:numPr>
        <w:jc w:val="both"/>
        <w:rPr>
          <w:rFonts w:ascii="Times New Roman" w:hAnsi="Times New Roman" w:cs="Times New Roman"/>
          <w:sz w:val="24"/>
          <w:szCs w:val="24"/>
        </w:rPr>
      </w:pPr>
      <w:r w:rsidRPr="003A513A">
        <w:rPr>
          <w:rFonts w:ascii="Times New Roman" w:hAnsi="Times New Roman" w:cs="Times New Roman"/>
          <w:i/>
          <w:iCs/>
          <w:sz w:val="24"/>
          <w:szCs w:val="24"/>
        </w:rPr>
        <w:t xml:space="preserve">Lack of information disclosure: </w:t>
      </w:r>
      <w:r w:rsidRPr="00F10E0F">
        <w:rPr>
          <w:rFonts w:ascii="Times New Roman" w:hAnsi="Times New Roman" w:cs="Times New Roman"/>
          <w:sz w:val="24"/>
          <w:szCs w:val="24"/>
        </w:rPr>
        <w:t xml:space="preserve">The AIIB does not include information about sub-projects funded through any client FIs on its website. This leaves potentially affected communities in the dark about their rights to know both who is behind the project affecting them, and that the AIIB’s E&amp;S standards should be applied. Though we have heard from the AIIB that it is committed to release information ‘within 12 months’ of sub-project approval, this is too late to help third parties and potentially affected people to identify and raise concerns up front, and lags behind best practice at other institutions. To address this, the ESF should require time-bound disclosure of sub-project information in advance of approval, in line with best practice at other institutions. The ESF should also require the disclosure of the name, sector and location of higher risk sub-projects on the AIIB website and on the client’s website, and disclosure should be required at sub-project sites in a manner that is visible and understandable to affected communities. </w:t>
      </w:r>
    </w:p>
    <w:p w14:paraId="35365C5A" w14:textId="77777777" w:rsidR="00F10E0F" w:rsidRPr="00F10E0F" w:rsidRDefault="00F10E0F" w:rsidP="00F10E0F">
      <w:pPr>
        <w:pStyle w:val="ListParagraph"/>
        <w:ind w:left="720"/>
        <w:jc w:val="both"/>
        <w:rPr>
          <w:rFonts w:ascii="Times New Roman" w:hAnsi="Times New Roman" w:cs="Times New Roman"/>
          <w:sz w:val="24"/>
          <w:szCs w:val="24"/>
        </w:rPr>
      </w:pPr>
    </w:p>
    <w:p w14:paraId="0181C72F" w14:textId="2C98DC21" w:rsidR="00F10E0F" w:rsidRPr="00F10E0F" w:rsidRDefault="00F10E0F" w:rsidP="00F10E0F">
      <w:pPr>
        <w:pStyle w:val="ListParagraph"/>
        <w:numPr>
          <w:ilvl w:val="0"/>
          <w:numId w:val="8"/>
        </w:numPr>
        <w:jc w:val="both"/>
        <w:rPr>
          <w:rFonts w:ascii="Times New Roman" w:hAnsi="Times New Roman" w:cs="Times New Roman"/>
          <w:sz w:val="24"/>
          <w:szCs w:val="24"/>
        </w:rPr>
      </w:pPr>
      <w:r w:rsidRPr="003A513A">
        <w:rPr>
          <w:rFonts w:ascii="Times New Roman" w:hAnsi="Times New Roman" w:cs="Times New Roman"/>
          <w:i/>
          <w:iCs/>
          <w:sz w:val="24"/>
          <w:szCs w:val="24"/>
        </w:rPr>
        <w:lastRenderedPageBreak/>
        <w:t xml:space="preserve">Exposure to fossil fuels: </w:t>
      </w:r>
      <w:r w:rsidR="003A513A">
        <w:rPr>
          <w:rFonts w:ascii="Times New Roman" w:hAnsi="Times New Roman" w:cs="Times New Roman"/>
          <w:sz w:val="24"/>
          <w:szCs w:val="24"/>
        </w:rPr>
        <w:t>T</w:t>
      </w:r>
      <w:r w:rsidRPr="00F10E0F">
        <w:rPr>
          <w:rFonts w:ascii="Times New Roman" w:hAnsi="Times New Roman" w:cs="Times New Roman"/>
          <w:sz w:val="24"/>
          <w:szCs w:val="24"/>
        </w:rPr>
        <w:t xml:space="preserve">hough the AIIB aims to be a ‘green’ bank, there is a significant risk of FI investments ending up backing fossil fuels, as evidenced in the case of the IFC Emerging Asia Fund. For example, one client, Summit Power in Bangladesh, has a portfolio that is 100 per cent fossil-fuel based. The AIIB should extend ESF climate provisions for direct investments so that they apply to indirect investments through FIs or other financial </w:t>
      </w:r>
      <w:proofErr w:type="gramStart"/>
      <w:r w:rsidRPr="00F10E0F">
        <w:rPr>
          <w:rFonts w:ascii="Times New Roman" w:hAnsi="Times New Roman" w:cs="Times New Roman"/>
          <w:sz w:val="24"/>
          <w:szCs w:val="24"/>
        </w:rPr>
        <w:t>instruments, and</w:t>
      </w:r>
      <w:proofErr w:type="gramEnd"/>
      <w:r w:rsidRPr="00F10E0F">
        <w:rPr>
          <w:rFonts w:ascii="Times New Roman" w:hAnsi="Times New Roman" w:cs="Times New Roman"/>
          <w:sz w:val="24"/>
          <w:szCs w:val="24"/>
        </w:rPr>
        <w:t xml:space="preserve"> ensure that the AIIB’s FI portfolio is aligned with the temperature goals of the Paris Agreement on climate change.</w:t>
      </w:r>
    </w:p>
    <w:p w14:paraId="6AC30B6C" w14:textId="77777777" w:rsidR="00F10E0F" w:rsidRPr="00F10E0F" w:rsidRDefault="00F10E0F" w:rsidP="00F10E0F">
      <w:pPr>
        <w:jc w:val="both"/>
        <w:rPr>
          <w:rFonts w:cs="Times New Roman"/>
          <w:szCs w:val="24"/>
        </w:rPr>
      </w:pPr>
    </w:p>
    <w:p w14:paraId="579A14A9" w14:textId="1A4A889E" w:rsidR="00F10E0F" w:rsidRPr="00F10E0F" w:rsidRDefault="00F10E0F" w:rsidP="00F10E0F">
      <w:pPr>
        <w:pStyle w:val="ListParagraph"/>
        <w:numPr>
          <w:ilvl w:val="0"/>
          <w:numId w:val="8"/>
        </w:numPr>
        <w:jc w:val="both"/>
        <w:rPr>
          <w:rFonts w:ascii="Times New Roman" w:hAnsi="Times New Roman" w:cs="Times New Roman"/>
          <w:sz w:val="24"/>
          <w:szCs w:val="24"/>
        </w:rPr>
      </w:pPr>
      <w:r w:rsidRPr="003A513A">
        <w:rPr>
          <w:rFonts w:ascii="Times New Roman" w:hAnsi="Times New Roman" w:cs="Times New Roman"/>
          <w:i/>
          <w:iCs/>
          <w:sz w:val="24"/>
          <w:szCs w:val="24"/>
        </w:rPr>
        <w:t>Delegation of control to FI clients/co-financiers:</w:t>
      </w:r>
      <w:r w:rsidRPr="00F10E0F">
        <w:rPr>
          <w:rFonts w:ascii="Times New Roman" w:hAnsi="Times New Roman" w:cs="Times New Roman"/>
          <w:sz w:val="24"/>
          <w:szCs w:val="24"/>
        </w:rPr>
        <w:t xml:space="preserve"> </w:t>
      </w:r>
      <w:r w:rsidR="003A513A">
        <w:rPr>
          <w:rFonts w:ascii="Times New Roman" w:hAnsi="Times New Roman" w:cs="Times New Roman"/>
          <w:sz w:val="24"/>
          <w:szCs w:val="24"/>
        </w:rPr>
        <w:t>T</w:t>
      </w:r>
      <w:r w:rsidRPr="00F10E0F">
        <w:rPr>
          <w:rFonts w:ascii="Times New Roman" w:hAnsi="Times New Roman" w:cs="Times New Roman"/>
          <w:sz w:val="24"/>
          <w:szCs w:val="24"/>
        </w:rPr>
        <w:t xml:space="preserve">he AIIB delegates decision-making around risk classification and E&amp;S management to the FIs in which it invests. </w:t>
      </w:r>
      <w:r w:rsidR="003A513A">
        <w:rPr>
          <w:rFonts w:ascii="Times New Roman" w:hAnsi="Times New Roman" w:cs="Times New Roman"/>
          <w:sz w:val="24"/>
          <w:szCs w:val="24"/>
        </w:rPr>
        <w:t>This</w:t>
      </w:r>
      <w:r w:rsidRPr="00F10E0F">
        <w:rPr>
          <w:rFonts w:ascii="Times New Roman" w:hAnsi="Times New Roman" w:cs="Times New Roman"/>
          <w:sz w:val="24"/>
          <w:szCs w:val="24"/>
        </w:rPr>
        <w:t xml:space="preserve"> can lead to risks being ignored or overlooked, as has happened at the IFC. The AIIB should therefore commit to actively conducting due diligence, monitoring and supervision itself in high risk sub-projects in order to verify the accuracy of FI clients’ risk </w:t>
      </w:r>
      <w:r w:rsidR="003A513A" w:rsidRPr="00F10E0F">
        <w:rPr>
          <w:rFonts w:ascii="Times New Roman" w:hAnsi="Times New Roman" w:cs="Times New Roman"/>
          <w:sz w:val="24"/>
          <w:szCs w:val="24"/>
        </w:rPr>
        <w:t>categorization</w:t>
      </w:r>
      <w:r w:rsidRPr="00F10E0F">
        <w:rPr>
          <w:rFonts w:ascii="Times New Roman" w:hAnsi="Times New Roman" w:cs="Times New Roman"/>
          <w:sz w:val="24"/>
          <w:szCs w:val="24"/>
        </w:rPr>
        <w:t xml:space="preserve">. In order to further reduce the risk of harm, the application of AIIB standards should extend to Category B FI subprojects, as well as Category A. A referral list system could be used so that higher risk subprojects are automatically flagged and given higher levels of attention, and the AIIB should implement ring-fencing of FI debt investments to target specific projects that have low environmental and social risk and have clear development impacts. </w:t>
      </w:r>
    </w:p>
    <w:p w14:paraId="350B2D59" w14:textId="77777777" w:rsidR="001D0774" w:rsidRPr="003A513A" w:rsidRDefault="001D0774" w:rsidP="00F10E0F">
      <w:pPr>
        <w:rPr>
          <w:lang w:val="en-US"/>
        </w:rPr>
      </w:pPr>
    </w:p>
    <w:p w14:paraId="430BA3A8" w14:textId="326537D7" w:rsidR="0065205C" w:rsidRDefault="00B13068" w:rsidP="00C1604B">
      <w:pPr>
        <w:rPr>
          <w:b/>
          <w:bCs/>
        </w:rPr>
      </w:pPr>
      <w:r>
        <w:rPr>
          <w:b/>
          <w:bCs/>
        </w:rPr>
        <w:t xml:space="preserve">6. </w:t>
      </w:r>
      <w:r w:rsidR="0065205C">
        <w:rPr>
          <w:b/>
          <w:bCs/>
        </w:rPr>
        <w:t>ESG Funds</w:t>
      </w:r>
    </w:p>
    <w:p w14:paraId="0C2B088A" w14:textId="75CF6EAF" w:rsidR="0065205C" w:rsidRDefault="0065205C" w:rsidP="00C1604B">
      <w:pPr>
        <w:rPr>
          <w:b/>
          <w:bCs/>
        </w:rPr>
      </w:pPr>
    </w:p>
    <w:p w14:paraId="586CD488" w14:textId="3EDF19A0" w:rsidR="0065205C" w:rsidRDefault="00112C9B" w:rsidP="00B37F2D">
      <w:pPr>
        <w:jc w:val="both"/>
      </w:pPr>
      <w:r>
        <w:t>I</w:t>
      </w:r>
      <w:r w:rsidR="0065205C">
        <w:t>n December of 2018</w:t>
      </w:r>
      <w:r>
        <w:t>,</w:t>
      </w:r>
      <w:r w:rsidR="0065205C">
        <w:t xml:space="preserve"> the Bank</w:t>
      </w:r>
      <w:r>
        <w:t xml:space="preserve"> approved its</w:t>
      </w:r>
      <w:r w:rsidR="0065205C">
        <w:t xml:space="preserve"> first investment in an “ESG fund”. A further two funds were approved in 2019. These three funds now account for </w:t>
      </w:r>
      <w:r w:rsidR="0010397F">
        <w:t>almost</w:t>
      </w:r>
      <w:r w:rsidR="0065205C">
        <w:t xml:space="preserve"> 10% of the bank’s portfolio in terms of value (over US$1 billion). </w:t>
      </w:r>
      <w:r w:rsidR="0066754A">
        <w:t xml:space="preserve">However, unlike all other AIIB investments, the </w:t>
      </w:r>
      <w:r w:rsidR="0065205C">
        <w:t>ESF</w:t>
      </w:r>
      <w:r w:rsidR="0066754A">
        <w:t xml:space="preserve"> is not applicable to ESG funds</w:t>
      </w:r>
      <w:r w:rsidR="0065205C">
        <w:t>. The bank’s board approved a derogation from the ESF for these projects, on the grounds that the ESF is not “fit for purpose” for application to capital markets or debt and equity security instruments.</w:t>
      </w:r>
      <w:r w:rsidR="0065205C">
        <w:rPr>
          <w:rStyle w:val="FootnoteReference"/>
        </w:rPr>
        <w:footnoteReference w:id="4"/>
      </w:r>
    </w:p>
    <w:p w14:paraId="6222417E" w14:textId="77777777" w:rsidR="0065205C" w:rsidRDefault="0065205C" w:rsidP="00B37F2D">
      <w:pPr>
        <w:jc w:val="both"/>
      </w:pPr>
    </w:p>
    <w:p w14:paraId="0A4D5F7A" w14:textId="77777777" w:rsidR="0020475C" w:rsidRDefault="0065205C" w:rsidP="00B37F2D">
      <w:pPr>
        <w:jc w:val="both"/>
      </w:pPr>
      <w:r>
        <w:t>In place of the ESF, these projects have developed (or will develop) specific ESG frameworks that are “consistent with the spirit and vision of the AIIB’s Environmental and Social Framework”.</w:t>
      </w:r>
      <w:r>
        <w:rPr>
          <w:rStyle w:val="FootnoteReference"/>
        </w:rPr>
        <w:footnoteReference w:id="5"/>
      </w:r>
      <w:r>
        <w:t xml:space="preserve"> These frameworks remain untested and have not been subject to public consultation.</w:t>
      </w:r>
      <w:r w:rsidR="00CF4D2F">
        <w:t xml:space="preserve"> </w:t>
      </w:r>
    </w:p>
    <w:p w14:paraId="25210ED4" w14:textId="77777777" w:rsidR="0020475C" w:rsidRDefault="0020475C" w:rsidP="00B37F2D">
      <w:pPr>
        <w:jc w:val="both"/>
      </w:pPr>
    </w:p>
    <w:p w14:paraId="7FC542CD" w14:textId="6DA30EDA" w:rsidR="0066754A" w:rsidRDefault="0066754A" w:rsidP="00B37F2D">
      <w:pPr>
        <w:jc w:val="both"/>
      </w:pPr>
      <w:r>
        <w:t xml:space="preserve">The shortcomings in the quality of ESG ratings systems is well known </w:t>
      </w:r>
      <w:r w:rsidR="00650307">
        <w:t>–</w:t>
      </w:r>
      <w:r>
        <w:t xml:space="preserve"> our</w:t>
      </w:r>
      <w:r w:rsidR="00650307">
        <w:t xml:space="preserve"> </w:t>
      </w:r>
      <w:r>
        <w:t xml:space="preserve">own research at IDI </w:t>
      </w:r>
      <w:r w:rsidR="006055AC">
        <w:t xml:space="preserve">has </w:t>
      </w:r>
      <w:r w:rsidR="00E551A4">
        <w:t xml:space="preserve">identified </w:t>
      </w:r>
      <w:r w:rsidR="006055AC">
        <w:t xml:space="preserve">high risk </w:t>
      </w:r>
      <w:r w:rsidR="00E551A4">
        <w:t xml:space="preserve">“ESG” </w:t>
      </w:r>
      <w:r w:rsidR="006055AC">
        <w:t xml:space="preserve">projects with serious adverse environmental and social impacts </w:t>
      </w:r>
      <w:r w:rsidR="00650307">
        <w:t>–</w:t>
      </w:r>
      <w:r w:rsidR="00E551A4">
        <w:t xml:space="preserve"> </w:t>
      </w:r>
      <w:r>
        <w:t>and</w:t>
      </w:r>
      <w:r w:rsidR="00650307">
        <w:t xml:space="preserve"> </w:t>
      </w:r>
      <w:r>
        <w:t xml:space="preserve">the need for strong safeguards around these investments is clear. </w:t>
      </w:r>
      <w:r w:rsidR="00E551A4">
        <w:t xml:space="preserve"> For example, one </w:t>
      </w:r>
      <w:r w:rsidR="00146D9F">
        <w:t>research</w:t>
      </w:r>
      <w:r w:rsidR="00E551A4">
        <w:t xml:space="preserve"> report published by State Street found that “the current state of ESG data – single sourced</w:t>
      </w:r>
      <w:r w:rsidR="00146D9F">
        <w:t>, low correlation and confusing terminology – is a hindering factor to accurately assessing the credentials of underlying companies and their portfolio-level impact.”</w:t>
      </w:r>
      <w:r w:rsidR="00971BAC">
        <w:rPr>
          <w:rStyle w:val="FootnoteReference"/>
        </w:rPr>
        <w:footnoteReference w:id="6"/>
      </w:r>
      <w:r w:rsidR="00146D9F">
        <w:t xml:space="preserve"> In particular, challenges are most pronounced in relation to environmental and social measurements. </w:t>
      </w:r>
    </w:p>
    <w:p w14:paraId="29A88086" w14:textId="77777777" w:rsidR="0066754A" w:rsidRDefault="0066754A" w:rsidP="00B37F2D">
      <w:pPr>
        <w:jc w:val="both"/>
      </w:pPr>
    </w:p>
    <w:p w14:paraId="7A2015E9" w14:textId="00FCA458" w:rsidR="0065205C" w:rsidRPr="00CF4D2F" w:rsidRDefault="0020475C" w:rsidP="00B37F2D">
      <w:pPr>
        <w:jc w:val="both"/>
      </w:pPr>
      <w:r>
        <w:t xml:space="preserve">The </w:t>
      </w:r>
      <w:r w:rsidR="00650307">
        <w:t xml:space="preserve">challenges </w:t>
      </w:r>
      <w:r>
        <w:t xml:space="preserve">associated with ESG funds mean that a robust set of environmental and social safeguards are required in the same way as any other AIIB-supported project. </w:t>
      </w:r>
      <w:r w:rsidR="00112C9B">
        <w:t xml:space="preserve">We </w:t>
      </w:r>
      <w:r>
        <w:t xml:space="preserve">therefore </w:t>
      </w:r>
      <w:r w:rsidR="00112C9B">
        <w:t>urge AIIB to reconsider its approach to ESG funds</w:t>
      </w:r>
      <w:r w:rsidR="0066754A">
        <w:t xml:space="preserve"> and </w:t>
      </w:r>
      <w:r>
        <w:t xml:space="preserve">use the opportunity of the review to </w:t>
      </w:r>
      <w:r w:rsidR="0066754A">
        <w:t>adapt the ESF so that it can be meaningfully applied to these funds and the projects they support</w:t>
      </w:r>
      <w:r>
        <w:t xml:space="preserve">. This will help </w:t>
      </w:r>
      <w:r w:rsidR="0065205C" w:rsidRPr="00CF4D2F">
        <w:t xml:space="preserve">ensure transparency and consistency in the way </w:t>
      </w:r>
      <w:r w:rsidR="0066754A">
        <w:t xml:space="preserve">AIIB-backed </w:t>
      </w:r>
      <w:r w:rsidR="0065205C" w:rsidRPr="00CF4D2F">
        <w:t>projects are assessed, monitored and implemented. Importantly, AIIB’s grievance mechanism should be accessible to people adversely affected by projects supported by AIIB’s ESG funds.</w:t>
      </w:r>
      <w:r w:rsidR="001140B8">
        <w:t xml:space="preserve"> </w:t>
      </w:r>
    </w:p>
    <w:p w14:paraId="31D62B35" w14:textId="77777777" w:rsidR="0065205C" w:rsidRDefault="0065205C" w:rsidP="00C1604B">
      <w:pPr>
        <w:rPr>
          <w:b/>
          <w:bCs/>
        </w:rPr>
      </w:pPr>
    </w:p>
    <w:p w14:paraId="334ACF24" w14:textId="54ED8E66" w:rsidR="0065205C" w:rsidRDefault="00B13068" w:rsidP="00C1604B">
      <w:pPr>
        <w:rPr>
          <w:b/>
          <w:bCs/>
        </w:rPr>
      </w:pPr>
      <w:r>
        <w:rPr>
          <w:b/>
          <w:bCs/>
        </w:rPr>
        <w:t xml:space="preserve">7. </w:t>
      </w:r>
      <w:r w:rsidR="0065205C">
        <w:rPr>
          <w:b/>
          <w:bCs/>
        </w:rPr>
        <w:t>Climate</w:t>
      </w:r>
      <w:r>
        <w:rPr>
          <w:b/>
          <w:bCs/>
        </w:rPr>
        <w:t xml:space="preserve"> change</w:t>
      </w:r>
    </w:p>
    <w:p w14:paraId="4C067690" w14:textId="45E07F48" w:rsidR="0065205C" w:rsidRDefault="0065205C" w:rsidP="00C1604B">
      <w:pPr>
        <w:rPr>
          <w:b/>
          <w:bCs/>
        </w:rPr>
      </w:pPr>
    </w:p>
    <w:p w14:paraId="53EA74D0" w14:textId="20A2F00B" w:rsidR="0065205C" w:rsidRPr="00F10BF4" w:rsidRDefault="0065205C" w:rsidP="00B37F2D">
      <w:pPr>
        <w:jc w:val="both"/>
      </w:pPr>
      <w:r>
        <w:t xml:space="preserve">Despite its commitment to </w:t>
      </w:r>
      <w:proofErr w:type="gramStart"/>
      <w:r>
        <w:t>being</w:t>
      </w:r>
      <w:proofErr w:type="gramEnd"/>
      <w:r>
        <w:t xml:space="preserve"> an innovative and “green” bank, the AIIB has been slow to develop its portfolio of renewable energy projects. </w:t>
      </w:r>
      <w:r w:rsidR="00854C08">
        <w:t>T</w:t>
      </w:r>
      <w:r>
        <w:t xml:space="preserve">o date the bank’s energy portfolio has leaned more towards </w:t>
      </w:r>
      <w:r w:rsidR="00950AB9">
        <w:t>gas generation</w:t>
      </w:r>
      <w:r>
        <w:t xml:space="preserve"> projects and infrastructure for energy transmission and distribution</w:t>
      </w:r>
      <w:r w:rsidR="00650307">
        <w:t xml:space="preserve"> than it has to renewable energy projects</w:t>
      </w:r>
      <w:r>
        <w:t>.</w:t>
      </w:r>
      <w:r w:rsidR="004D50B6">
        <w:rPr>
          <w:rStyle w:val="FootnoteReference"/>
        </w:rPr>
        <w:footnoteReference w:id="7"/>
      </w:r>
      <w:r>
        <w:t xml:space="preserve"> In terms of project value, four times as much funding flow</w:t>
      </w:r>
      <w:r w:rsidR="00650307">
        <w:t>s</w:t>
      </w:r>
      <w:r>
        <w:t xml:space="preserve"> to natural gas projects as to renewable</w:t>
      </w:r>
      <w:r w:rsidR="00DE61E4">
        <w:t>s</w:t>
      </w:r>
      <w:r>
        <w:t>.</w:t>
      </w:r>
    </w:p>
    <w:p w14:paraId="64902FC5" w14:textId="77777777" w:rsidR="0065205C" w:rsidRDefault="0065205C" w:rsidP="00B37F2D">
      <w:pPr>
        <w:jc w:val="both"/>
      </w:pPr>
    </w:p>
    <w:p w14:paraId="13F19083" w14:textId="1AB74AE2" w:rsidR="0065205C" w:rsidRDefault="0065205C" w:rsidP="00B37F2D">
      <w:pPr>
        <w:jc w:val="both"/>
      </w:pPr>
      <w:r>
        <w:t>There was a shift during 2019, with three renewable energy projects approved, as well as two lending facilities, a climate bond portfolio, and an energy transition fund. However, the bank has yet to live up to its professed green promises</w:t>
      </w:r>
      <w:r w:rsidR="009C7F58">
        <w:t>.</w:t>
      </w:r>
      <w:r>
        <w:t xml:space="preserve"> </w:t>
      </w:r>
      <w:r w:rsidR="009C7F58">
        <w:t>D</w:t>
      </w:r>
      <w:r>
        <w:t xml:space="preserve">espite symbolic commitments, the current version of the ESF is weak in terms of concrete measures to </w:t>
      </w:r>
      <w:r w:rsidR="009C7F58">
        <w:t xml:space="preserve">mitigate </w:t>
      </w:r>
      <w:r>
        <w:t xml:space="preserve">climate change </w:t>
      </w:r>
      <w:r w:rsidR="009C7F58">
        <w:t>(i</w:t>
      </w:r>
      <w:r w:rsidR="00F10E0F">
        <w:t>.</w:t>
      </w:r>
      <w:r w:rsidR="009C7F58">
        <w:t>e</w:t>
      </w:r>
      <w:r w:rsidR="00F10E0F">
        <w:t>.</w:t>
      </w:r>
      <w:r w:rsidR="009C7F58">
        <w:t xml:space="preserve">, reduce carbon emissions), </w:t>
      </w:r>
      <w:r w:rsidR="00650307">
        <w:t xml:space="preserve">and lacks </w:t>
      </w:r>
      <w:r w:rsidR="009C7F58">
        <w:t>requir</w:t>
      </w:r>
      <w:r w:rsidR="00650307">
        <w:t xml:space="preserve">ements to </w:t>
      </w:r>
      <w:r w:rsidR="009C7F58">
        <w:t xml:space="preserve">consider renewable alternatives, </w:t>
      </w:r>
      <w:r>
        <w:t xml:space="preserve">and </w:t>
      </w:r>
      <w:r w:rsidR="009C7F58">
        <w:t xml:space="preserve">put in place adaptation safeguard measures for the now inevitable impacts of climate change. </w:t>
      </w:r>
      <w:r w:rsidRPr="00950AB9">
        <w:t>The green-gap must be tackled in the ESF review process, with the framework updated to include specific climate targets, consistent with the goals of the Paris Agreement, with clear targets for the percentage of the bank’s portfolio that will focus on climate finance</w:t>
      </w:r>
      <w:r w:rsidR="004471CB">
        <w:t xml:space="preserve"> and renewable energy projects</w:t>
      </w:r>
      <w:r w:rsidRPr="00950AB9">
        <w:t>.</w:t>
      </w:r>
      <w:r w:rsidRPr="00950AB9">
        <w:rPr>
          <w:rStyle w:val="FootnoteReference"/>
        </w:rPr>
        <w:footnoteReference w:id="8"/>
      </w:r>
      <w:r w:rsidRPr="00950AB9">
        <w:t xml:space="preserve"> </w:t>
      </w:r>
      <w:r w:rsidR="00004980">
        <w:t>At</w:t>
      </w:r>
      <w:r w:rsidR="00650307">
        <w:t xml:space="preserve"> a</w:t>
      </w:r>
      <w:r w:rsidR="00004980">
        <w:t xml:space="preserve"> minimum, the AIIB should commit to not financing coal. </w:t>
      </w:r>
    </w:p>
    <w:p w14:paraId="79248E77" w14:textId="77777777" w:rsidR="00ED575E" w:rsidRDefault="00ED575E" w:rsidP="00C1604B">
      <w:pPr>
        <w:rPr>
          <w:b/>
          <w:bCs/>
        </w:rPr>
      </w:pPr>
    </w:p>
    <w:p w14:paraId="11A396A8" w14:textId="3A16594D" w:rsidR="0065205C" w:rsidRDefault="004471CB" w:rsidP="00C1604B">
      <w:pPr>
        <w:rPr>
          <w:b/>
          <w:bCs/>
        </w:rPr>
      </w:pPr>
      <w:r>
        <w:rPr>
          <w:b/>
          <w:bCs/>
        </w:rPr>
        <w:t xml:space="preserve">8. </w:t>
      </w:r>
      <w:r w:rsidR="0065205C">
        <w:rPr>
          <w:b/>
          <w:bCs/>
        </w:rPr>
        <w:t>Disclosure</w:t>
      </w:r>
      <w:r w:rsidR="003548CC">
        <w:rPr>
          <w:b/>
          <w:bCs/>
        </w:rPr>
        <w:t xml:space="preserve"> and access to information</w:t>
      </w:r>
    </w:p>
    <w:p w14:paraId="21F43935" w14:textId="702B830D" w:rsidR="0065205C" w:rsidRDefault="0065205C" w:rsidP="00C1604B">
      <w:pPr>
        <w:rPr>
          <w:b/>
          <w:bCs/>
        </w:rPr>
      </w:pPr>
    </w:p>
    <w:p w14:paraId="5CF9A3DF" w14:textId="7B352CDD" w:rsidR="0065205C" w:rsidRDefault="00004980" w:rsidP="00B37F2D">
      <w:pPr>
        <w:jc w:val="both"/>
      </w:pPr>
      <w:r>
        <w:t xml:space="preserve">A </w:t>
      </w:r>
      <w:r w:rsidR="0065205C">
        <w:t xml:space="preserve">major weakness of the ESF concerns information disclosure. Although it makes multiple references to disclosure, the ESF does not include time-bound requirements for </w:t>
      </w:r>
      <w:r w:rsidR="00B64AD1">
        <w:t>the release of</w:t>
      </w:r>
      <w:r w:rsidR="0065205C">
        <w:t xml:space="preserve"> important project documents. </w:t>
      </w:r>
      <w:r>
        <w:t xml:space="preserve">This shortcoming was unfortunately not addressed in the </w:t>
      </w:r>
      <w:r w:rsidR="0065205C">
        <w:t>Policy on Public Information.</w:t>
      </w:r>
      <w:r w:rsidR="004471CB">
        <w:t xml:space="preserve"> </w:t>
      </w:r>
      <w:r w:rsidR="0065205C">
        <w:t>Without timely disclosure of project</w:t>
      </w:r>
      <w:r w:rsidR="00987E52">
        <w:t xml:space="preserve"> documentation</w:t>
      </w:r>
      <w:r w:rsidR="0065205C">
        <w:t xml:space="preserve">, including </w:t>
      </w:r>
      <w:r w:rsidR="00DD65FD">
        <w:t xml:space="preserve">for </w:t>
      </w:r>
      <w:r w:rsidR="0065205C">
        <w:t xml:space="preserve">sub-projects via financial intermediaries and funds, potentially affected people and civil society groups may not even be aware of AIIB involvement in a project, and therefore also unaware of entitlements under the ESF and the grievance mechanisms that may be available to them. If project assessment and planning documents are not disclosed in a timely manner and in a format that is accessible to affected people, opportunities to avoid or mitigate harms </w:t>
      </w:r>
      <w:r w:rsidR="00636CC9">
        <w:t>will</w:t>
      </w:r>
      <w:r w:rsidR="0065205C">
        <w:t xml:space="preserve"> be lost.</w:t>
      </w:r>
    </w:p>
    <w:p w14:paraId="701095D9" w14:textId="77777777" w:rsidR="0065205C" w:rsidRDefault="0065205C" w:rsidP="00B37F2D">
      <w:pPr>
        <w:jc w:val="both"/>
      </w:pPr>
    </w:p>
    <w:p w14:paraId="4B30996D" w14:textId="62B03CBE" w:rsidR="00751768" w:rsidRDefault="0065205C" w:rsidP="00B37F2D">
      <w:pPr>
        <w:jc w:val="both"/>
      </w:pPr>
      <w:r w:rsidRPr="00857B6B">
        <w:t xml:space="preserve">The ESF review presents an important opportunity to address these concerns by following the best practice of other multilateral banks and requiring time-bound disclosure of project related documents. In cases where projects are co-financed, the AIIB should provide links to </w:t>
      </w:r>
      <w:r w:rsidRPr="00857B6B">
        <w:lastRenderedPageBreak/>
        <w:t>lead financier websites</w:t>
      </w:r>
      <w:r w:rsidR="00DD3414">
        <w:t>;</w:t>
      </w:r>
      <w:r w:rsidRPr="00857B6B">
        <w:t xml:space="preserve"> </w:t>
      </w:r>
      <w:r w:rsidR="00E13445" w:rsidRPr="00857B6B">
        <w:t xml:space="preserve">at present </w:t>
      </w:r>
      <w:r w:rsidR="00502714" w:rsidRPr="00857B6B">
        <w:t xml:space="preserve">the vast majority of AIIB project pages for co-financed projects have no links to co-financing partner websites. </w:t>
      </w:r>
      <w:r w:rsidR="002E03F9" w:rsidRPr="00857B6B">
        <w:t xml:space="preserve">This should be </w:t>
      </w:r>
      <w:r w:rsidR="00DD3414">
        <w:t xml:space="preserve">required by </w:t>
      </w:r>
      <w:r w:rsidR="00B655CD" w:rsidRPr="00857B6B">
        <w:t>the ESF</w:t>
      </w:r>
      <w:r w:rsidR="006F3684" w:rsidRPr="00857B6B">
        <w:t xml:space="preserve">. </w:t>
      </w:r>
      <w:r w:rsidR="00502714" w:rsidRPr="00857B6B">
        <w:t>I</w:t>
      </w:r>
      <w:r w:rsidRPr="00857B6B">
        <w:t xml:space="preserve">n </w:t>
      </w:r>
      <w:r w:rsidR="00502714" w:rsidRPr="00857B6B">
        <w:t xml:space="preserve">the </w:t>
      </w:r>
      <w:r w:rsidRPr="00857B6B">
        <w:t xml:space="preserve">case of standalone projects, all documents </w:t>
      </w:r>
      <w:r w:rsidR="00DD3414">
        <w:t xml:space="preserve">should </w:t>
      </w:r>
      <w:r w:rsidRPr="00857B6B">
        <w:t xml:space="preserve">be posted in a timely manner, as </w:t>
      </w:r>
      <w:r w:rsidR="00DD3414">
        <w:t xml:space="preserve">per </w:t>
      </w:r>
      <w:r w:rsidR="0003225F" w:rsidRPr="00857B6B">
        <w:t xml:space="preserve">best practice at other </w:t>
      </w:r>
      <w:r w:rsidR="00FA21FB" w:rsidRPr="00857B6B">
        <w:t>multilateral banks</w:t>
      </w:r>
      <w:r w:rsidR="00857B6B" w:rsidRPr="00857B6B">
        <w:t xml:space="preserve">, such as the World Bank and IFC, which </w:t>
      </w:r>
      <w:r w:rsidR="00751768" w:rsidRPr="00857B6B">
        <w:t>disclose project documents for high risk projects 120</w:t>
      </w:r>
      <w:r w:rsidR="00857B6B" w:rsidRPr="00857B6B">
        <w:t>-</w:t>
      </w:r>
      <w:r w:rsidR="00751768" w:rsidRPr="00857B6B">
        <w:t>60 days in advance</w:t>
      </w:r>
      <w:r w:rsidR="00857B6B">
        <w:t xml:space="preserve"> of approval</w:t>
      </w:r>
      <w:r w:rsidR="00751768" w:rsidRPr="00857B6B">
        <w:t>.</w:t>
      </w:r>
    </w:p>
    <w:p w14:paraId="2CC8083F" w14:textId="772AA2B7" w:rsidR="00D677F4" w:rsidRDefault="00D677F4" w:rsidP="00B37F2D">
      <w:pPr>
        <w:jc w:val="both"/>
      </w:pPr>
    </w:p>
    <w:p w14:paraId="39B1457C" w14:textId="502F1CA1" w:rsidR="00AB0F19" w:rsidRPr="00CF4BFD" w:rsidRDefault="00CF4BFD" w:rsidP="00B37F2D">
      <w:pPr>
        <w:jc w:val="both"/>
        <w:rPr>
          <w:b/>
          <w:bCs/>
        </w:rPr>
      </w:pPr>
      <w:r w:rsidRPr="00CF4BFD">
        <w:rPr>
          <w:b/>
          <w:bCs/>
        </w:rPr>
        <w:t xml:space="preserve">9. </w:t>
      </w:r>
      <w:r w:rsidR="00AB0F19" w:rsidRPr="00CF4BFD">
        <w:rPr>
          <w:b/>
          <w:bCs/>
        </w:rPr>
        <w:t>Language</w:t>
      </w:r>
      <w:r w:rsidRPr="00CF4BFD">
        <w:rPr>
          <w:b/>
          <w:bCs/>
        </w:rPr>
        <w:t xml:space="preserve"> at the AIIB</w:t>
      </w:r>
    </w:p>
    <w:p w14:paraId="466180E5" w14:textId="77777777" w:rsidR="00AB0F19" w:rsidRDefault="00AB0F19" w:rsidP="00B37F2D">
      <w:pPr>
        <w:jc w:val="both"/>
      </w:pPr>
    </w:p>
    <w:p w14:paraId="432C9A31" w14:textId="6A678955" w:rsidR="00750849" w:rsidRDefault="00811D8E" w:rsidP="00811D8E">
      <w:pPr>
        <w:jc w:val="both"/>
      </w:pPr>
      <w:r>
        <w:t xml:space="preserve">Although it is an Asian bank, the AIIB’s Articles of Association state that its working language is English, and the ESF itself is only available in English. Likewise, the policy and rules of procedure for the </w:t>
      </w:r>
      <w:r w:rsidR="00923059">
        <w:t>Project-affected People’s</w:t>
      </w:r>
      <w:r>
        <w:t xml:space="preserve"> </w:t>
      </w:r>
      <w:r w:rsidR="00923059">
        <w:t>M</w:t>
      </w:r>
      <w:r>
        <w:t xml:space="preserve">echanism are only available in English. </w:t>
      </w:r>
      <w:r w:rsidR="002A6E82">
        <w:t xml:space="preserve">These crucial documents create the foundation for protecting people from the environmental and social impacts that could in some cases irreversibly </w:t>
      </w:r>
      <w:r w:rsidR="00300154">
        <w:t xml:space="preserve">affect their lives. As such, it is </w:t>
      </w:r>
      <w:r w:rsidR="00942C4F">
        <w:t xml:space="preserve">essential that the bank begins to translate these foundational documents into the </w:t>
      </w:r>
      <w:r w:rsidR="00A60611">
        <w:t xml:space="preserve">languages of member countries, beginning with those countries that are most </w:t>
      </w:r>
      <w:r w:rsidR="00E56A6F">
        <w:t>represented in the</w:t>
      </w:r>
      <w:r w:rsidR="00883C2E">
        <w:t xml:space="preserve"> </w:t>
      </w:r>
      <w:r w:rsidR="00E56A6F">
        <w:t>bank’s project portfolio and pipeline.</w:t>
      </w:r>
    </w:p>
    <w:p w14:paraId="2505DA82" w14:textId="6C9C869D" w:rsidR="00750849" w:rsidRDefault="00750849" w:rsidP="00811D8E">
      <w:pPr>
        <w:jc w:val="both"/>
      </w:pPr>
    </w:p>
    <w:p w14:paraId="2EEE1699" w14:textId="418C1A0C" w:rsidR="00A82034" w:rsidRDefault="00814FB5" w:rsidP="00811D8E">
      <w:pPr>
        <w:jc w:val="both"/>
      </w:pPr>
      <w:r>
        <w:t>With regards to projects, d</w:t>
      </w:r>
      <w:r w:rsidR="00811D8E">
        <w:t xml:space="preserve">isclosure of local-language documents is inconsistent, and a review of the AIIB approved projects page shows that out of 64 approved projects, only 13 have published </w:t>
      </w:r>
      <w:r w:rsidR="00B15FF7">
        <w:t xml:space="preserve">documents in </w:t>
      </w:r>
      <w:r w:rsidR="00811D8E">
        <w:t>local languages</w:t>
      </w:r>
      <w:r w:rsidR="00A82034">
        <w:t xml:space="preserve">. </w:t>
      </w:r>
      <w:r w:rsidR="00C04DCB">
        <w:t>Just</w:t>
      </w:r>
      <w:r w:rsidR="009F32D3">
        <w:t xml:space="preserve"> </w:t>
      </w:r>
      <w:r w:rsidR="00C04DCB">
        <w:t>2</w:t>
      </w:r>
      <w:r w:rsidR="009F32D3">
        <w:t xml:space="preserve"> of 29 co-financed projects </w:t>
      </w:r>
      <w:r w:rsidR="006143D5">
        <w:t>have translated documents posted on the</w:t>
      </w:r>
      <w:r w:rsidR="00603503">
        <w:t>ir</w:t>
      </w:r>
      <w:r w:rsidR="006143D5">
        <w:t xml:space="preserve"> project page</w:t>
      </w:r>
      <w:r w:rsidR="00603503">
        <w:t>s</w:t>
      </w:r>
      <w:r w:rsidR="006143D5">
        <w:t xml:space="preserve">. It may be the case that </w:t>
      </w:r>
      <w:r w:rsidR="00F62A71">
        <w:t xml:space="preserve">such </w:t>
      </w:r>
      <w:r w:rsidR="006143D5">
        <w:t xml:space="preserve">documents are available on the page of the co-financier, but for the most part, no links are provided. </w:t>
      </w:r>
      <w:r w:rsidR="00015FC0">
        <w:t>Standalone project pages provide much more information, and 11 of 19 projects have posted translated document</w:t>
      </w:r>
      <w:r w:rsidR="00C52639">
        <w:t>s. In most cases they are summaries of longer English language documents</w:t>
      </w:r>
      <w:r w:rsidR="00B1310E">
        <w:t xml:space="preserve">. While there is an encouraging trend for increased </w:t>
      </w:r>
      <w:r w:rsidR="0013143D">
        <w:t xml:space="preserve">project information being posted </w:t>
      </w:r>
      <w:r w:rsidR="00B46890">
        <w:t>o</w:t>
      </w:r>
      <w:r w:rsidR="0013143D">
        <w:t>n the AIIB website,</w:t>
      </w:r>
      <w:r w:rsidR="00E41DEA">
        <w:t xml:space="preserve"> </w:t>
      </w:r>
      <w:r w:rsidR="005D7DDC">
        <w:t>disclosure</w:t>
      </w:r>
      <w:r w:rsidR="002F6B6E">
        <w:t xml:space="preserve"> is inconsistent across the portfolio, which further supports the case for</w:t>
      </w:r>
      <w:r w:rsidR="0013143D">
        <w:t xml:space="preserve"> </w:t>
      </w:r>
      <w:r w:rsidR="00E41DEA">
        <w:t xml:space="preserve">the ESF </w:t>
      </w:r>
      <w:r w:rsidR="002F6B6E">
        <w:t xml:space="preserve">to include time-bound disclosure </w:t>
      </w:r>
      <w:r w:rsidR="00DD3414">
        <w:t xml:space="preserve">and language </w:t>
      </w:r>
      <w:r w:rsidR="002F6B6E">
        <w:t>requirements for project documents.</w:t>
      </w:r>
    </w:p>
    <w:p w14:paraId="4F9A147E" w14:textId="77777777" w:rsidR="00A82034" w:rsidRDefault="00A82034" w:rsidP="00811D8E">
      <w:pPr>
        <w:jc w:val="both"/>
      </w:pPr>
    </w:p>
    <w:p w14:paraId="295541EC" w14:textId="53E89762" w:rsidR="0065205C" w:rsidRPr="00E56A6F" w:rsidRDefault="0065205C" w:rsidP="009279CE">
      <w:pPr>
        <w:jc w:val="both"/>
      </w:pPr>
      <w:r w:rsidRPr="00E56A6F">
        <w:t xml:space="preserve">In order to ensure that the public is fully informed about AIIB projects and policies, and the environmental and social protections the bank has in place, it is crucial that the bank moves beyond </w:t>
      </w:r>
      <w:r w:rsidR="00C52639">
        <w:t>its</w:t>
      </w:r>
      <w:r w:rsidRPr="00E56A6F">
        <w:t xml:space="preserve"> English-centric approach, especially given the fact that so few of its projects are located in countries where English is widely spoken. Given the high portion of projects in India, Bangladesh and Indonesia, these countries represent a </w:t>
      </w:r>
      <w:r w:rsidR="00790E60">
        <w:t>potential</w:t>
      </w:r>
      <w:r w:rsidRPr="00E56A6F">
        <w:t xml:space="preserve"> starting point for translating important Bank policies including the ESF and complaints mechanism. </w:t>
      </w:r>
      <w:r w:rsidR="006E6F83">
        <w:t>In terms of project document, a</w:t>
      </w:r>
      <w:r w:rsidRPr="00E56A6F">
        <w:t xml:space="preserve">t the very least, summary documents should always be made available for </w:t>
      </w:r>
      <w:r w:rsidR="00830C3B">
        <w:t xml:space="preserve">standalone </w:t>
      </w:r>
      <w:r w:rsidRPr="00E56A6F">
        <w:t xml:space="preserve">projects and published or linked on the </w:t>
      </w:r>
      <w:r w:rsidR="009041F1">
        <w:t xml:space="preserve">relevant </w:t>
      </w:r>
      <w:r w:rsidRPr="00E56A6F">
        <w:t xml:space="preserve">AIIB </w:t>
      </w:r>
      <w:r w:rsidR="009041F1">
        <w:t>project page</w:t>
      </w:r>
      <w:r w:rsidRPr="00E56A6F">
        <w:t>.</w:t>
      </w:r>
    </w:p>
    <w:p w14:paraId="03262675" w14:textId="14364193" w:rsidR="0065205C" w:rsidRDefault="0065205C" w:rsidP="00C1604B">
      <w:pPr>
        <w:rPr>
          <w:b/>
          <w:bCs/>
        </w:rPr>
      </w:pPr>
    </w:p>
    <w:p w14:paraId="007E65D2" w14:textId="5B6C6B09" w:rsidR="0065205C" w:rsidRDefault="00FD48DA" w:rsidP="00C1604B">
      <w:pPr>
        <w:rPr>
          <w:b/>
          <w:bCs/>
        </w:rPr>
      </w:pPr>
      <w:r>
        <w:rPr>
          <w:b/>
          <w:bCs/>
        </w:rPr>
        <w:t xml:space="preserve">10. </w:t>
      </w:r>
      <w:r w:rsidR="0065205C">
        <w:rPr>
          <w:b/>
          <w:bCs/>
        </w:rPr>
        <w:t>Gender</w:t>
      </w:r>
    </w:p>
    <w:p w14:paraId="05A16DD9" w14:textId="14C112C7" w:rsidR="0065205C" w:rsidRDefault="0065205C" w:rsidP="00C1604B">
      <w:pPr>
        <w:rPr>
          <w:b/>
          <w:bCs/>
        </w:rPr>
      </w:pPr>
    </w:p>
    <w:p w14:paraId="20856E78" w14:textId="2BE569D3" w:rsidR="000954F4" w:rsidRDefault="00D54DB4" w:rsidP="003F1303">
      <w:pPr>
        <w:jc w:val="both"/>
      </w:pPr>
      <w:r>
        <w:t>T</w:t>
      </w:r>
      <w:r w:rsidR="00FD48DA" w:rsidRPr="00FD48DA">
        <w:t xml:space="preserve">he </w:t>
      </w:r>
      <w:r w:rsidR="00F2536E">
        <w:t xml:space="preserve">ESF states that the bank </w:t>
      </w:r>
      <w:r>
        <w:t xml:space="preserve">“recognizes the importance of gender equality for successful and sustainable economic development and the need for inclusiveness and gender responsiveness”. However, the bank has no dedicated gender policy, and the ESF </w:t>
      </w:r>
      <w:r w:rsidR="00DD41D2">
        <w:t xml:space="preserve">contains only basic direction </w:t>
      </w:r>
      <w:r w:rsidR="006E6F83">
        <w:t xml:space="preserve">for </w:t>
      </w:r>
      <w:r w:rsidR="00DD41D2">
        <w:t>both the bank and its client</w:t>
      </w:r>
      <w:r w:rsidR="00EB4BC0">
        <w:t>s</w:t>
      </w:r>
      <w:r w:rsidR="00DD41D2">
        <w:t xml:space="preserve"> when it comes to ensuring projects </w:t>
      </w:r>
      <w:r w:rsidR="00F139CB">
        <w:t xml:space="preserve">appropriately consider and mitigate </w:t>
      </w:r>
      <w:r w:rsidR="00B818A7">
        <w:t>gender-specific impacts and maximize benefits for women and girls.</w:t>
      </w:r>
      <w:r w:rsidR="00FE4A12">
        <w:t xml:space="preserve"> The impacts of infrastructure projects are felt differently </w:t>
      </w:r>
      <w:r w:rsidR="001C7043">
        <w:t>by women and girls</w:t>
      </w:r>
      <w:r w:rsidR="007B70B6">
        <w:t xml:space="preserve">, and failures to adequately </w:t>
      </w:r>
      <w:r w:rsidR="008E3585">
        <w:t>integrate gender considerations in p</w:t>
      </w:r>
      <w:r w:rsidR="0016197E">
        <w:t>roject planning and implementation</w:t>
      </w:r>
      <w:r w:rsidR="00B95C84">
        <w:t xml:space="preserve"> </w:t>
      </w:r>
      <w:r w:rsidR="00A76726">
        <w:t xml:space="preserve">can </w:t>
      </w:r>
      <w:r w:rsidR="000143B7">
        <w:t xml:space="preserve">result in missed opportunities to </w:t>
      </w:r>
      <w:r w:rsidR="003F1303">
        <w:t>bring be</w:t>
      </w:r>
      <w:r w:rsidR="009F48FE">
        <w:t>ne</w:t>
      </w:r>
      <w:r w:rsidR="003F1303">
        <w:t xml:space="preserve">fits to women, and in some cases </w:t>
      </w:r>
      <w:r w:rsidR="0016197E">
        <w:t xml:space="preserve">can </w:t>
      </w:r>
      <w:r w:rsidR="003F1303">
        <w:t>cause serious harm.</w:t>
      </w:r>
    </w:p>
    <w:p w14:paraId="21CC2255" w14:textId="77777777" w:rsidR="000954F4" w:rsidRDefault="000954F4" w:rsidP="003F1303">
      <w:pPr>
        <w:jc w:val="both"/>
      </w:pPr>
    </w:p>
    <w:p w14:paraId="37F69C23" w14:textId="436848EF" w:rsidR="00B47506" w:rsidRPr="00B47506" w:rsidRDefault="0065205C" w:rsidP="002E3FD1">
      <w:pPr>
        <w:jc w:val="both"/>
      </w:pPr>
      <w:r w:rsidRPr="000954F4">
        <w:lastRenderedPageBreak/>
        <w:t xml:space="preserve">In India, failures to address important gender considerations in a rural road project </w:t>
      </w:r>
      <w:r w:rsidR="003F1303" w:rsidRPr="000954F4">
        <w:t xml:space="preserve">supported by the AIIB </w:t>
      </w:r>
      <w:r w:rsidRPr="000954F4">
        <w:t>in Gujarat have been documented and raised with the bank.</w:t>
      </w:r>
      <w:r w:rsidR="00EC44F4" w:rsidRPr="000954F4">
        <w:t xml:space="preserve"> As stated in one CSO report: </w:t>
      </w:r>
      <w:r w:rsidR="00E55C7E" w:rsidRPr="000954F4">
        <w:t>“The project did not establish mechanisms for women to inform or shape the project. Many fewer women were hired than men to work on the project. Work sites did not have gender-safe bathrooms or housing facilities for women workers. Project road construction reinforced gender inequalities and violated labour and human rights, especially those of tribal peoples.”</w:t>
      </w:r>
      <w:r w:rsidR="0016197E" w:rsidRPr="000954F4">
        <w:rPr>
          <w:rStyle w:val="FootnoteReference"/>
        </w:rPr>
        <w:footnoteReference w:id="9"/>
      </w:r>
      <w:r w:rsidR="002E3FD1">
        <w:t xml:space="preserve"> </w:t>
      </w:r>
      <w:r w:rsidR="000F7722" w:rsidRPr="005A47E1">
        <w:t xml:space="preserve">The ESF should be revised </w:t>
      </w:r>
      <w:r w:rsidR="009F48FE">
        <w:t xml:space="preserve">to </w:t>
      </w:r>
      <w:r w:rsidR="005A47E1" w:rsidRPr="005A47E1">
        <w:t>make it a clear requirement</w:t>
      </w:r>
      <w:r w:rsidR="008F3E2E" w:rsidRPr="005A47E1">
        <w:t xml:space="preserve"> that clients promote gender equality and prevent harmful gender impacts</w:t>
      </w:r>
      <w:r w:rsidR="005A47E1" w:rsidRPr="005A47E1">
        <w:t xml:space="preserve"> in bank</w:t>
      </w:r>
      <w:r w:rsidR="009F48FE">
        <w:t>-</w:t>
      </w:r>
      <w:r w:rsidR="005A47E1" w:rsidRPr="005A47E1">
        <w:t>supported projects.</w:t>
      </w:r>
      <w:r w:rsidR="005A47E1">
        <w:t xml:space="preserve"> </w:t>
      </w:r>
      <w:r w:rsidR="009F48FE">
        <w:t>Implementation g</w:t>
      </w:r>
      <w:r w:rsidR="005A47E1">
        <w:t xml:space="preserve">uidance </w:t>
      </w:r>
      <w:r w:rsidR="009F48FE">
        <w:t xml:space="preserve">for </w:t>
      </w:r>
      <w:r w:rsidR="005A47E1">
        <w:t xml:space="preserve">clients </w:t>
      </w:r>
      <w:r w:rsidR="009E761D">
        <w:t xml:space="preserve">should be set out either in a dedicated standard or within a broader </w:t>
      </w:r>
      <w:r w:rsidR="009107B1">
        <w:t>bank strategy on gender.</w:t>
      </w:r>
      <w:r w:rsidR="005744CB">
        <w:t xml:space="preserve"> </w:t>
      </w:r>
      <w:r w:rsidR="009F48FE" w:rsidRPr="00167B73">
        <w:t>The AIIB must also institute strong measures to prevent sexual and gender</w:t>
      </w:r>
      <w:r w:rsidR="009F48FE">
        <w:t>-</w:t>
      </w:r>
      <w:r w:rsidR="009F48FE" w:rsidRPr="00167B73">
        <w:t>based violence</w:t>
      </w:r>
      <w:r w:rsidR="006E6F83">
        <w:t xml:space="preserve"> in the projects that it supports.</w:t>
      </w:r>
    </w:p>
    <w:p w14:paraId="27E06BFD" w14:textId="77777777" w:rsidR="00FC0D38" w:rsidRDefault="00FC0D38" w:rsidP="003F1303">
      <w:pPr>
        <w:jc w:val="both"/>
      </w:pPr>
    </w:p>
    <w:p w14:paraId="1A8CA935" w14:textId="6BE48C7E" w:rsidR="007104DC" w:rsidRDefault="004B4C40" w:rsidP="00C1604B">
      <w:pPr>
        <w:rPr>
          <w:b/>
          <w:bCs/>
        </w:rPr>
      </w:pPr>
      <w:r>
        <w:rPr>
          <w:b/>
          <w:bCs/>
        </w:rPr>
        <w:t xml:space="preserve">11. The </w:t>
      </w:r>
      <w:r w:rsidR="007104DC">
        <w:rPr>
          <w:b/>
          <w:bCs/>
        </w:rPr>
        <w:t>P</w:t>
      </w:r>
      <w:r>
        <w:rPr>
          <w:b/>
          <w:bCs/>
        </w:rPr>
        <w:t xml:space="preserve">roject-affected </w:t>
      </w:r>
      <w:r w:rsidR="007104DC">
        <w:rPr>
          <w:b/>
          <w:bCs/>
        </w:rPr>
        <w:t>P</w:t>
      </w:r>
      <w:r>
        <w:rPr>
          <w:b/>
          <w:bCs/>
        </w:rPr>
        <w:t xml:space="preserve">eople’s </w:t>
      </w:r>
      <w:r w:rsidR="007104DC">
        <w:rPr>
          <w:b/>
          <w:bCs/>
        </w:rPr>
        <w:t>M</w:t>
      </w:r>
      <w:r>
        <w:rPr>
          <w:b/>
          <w:bCs/>
        </w:rPr>
        <w:t>echanism</w:t>
      </w:r>
    </w:p>
    <w:p w14:paraId="39EEAFF7" w14:textId="4A68DE70" w:rsidR="004B4C40" w:rsidRDefault="004B4C40" w:rsidP="00F40033">
      <w:pPr>
        <w:jc w:val="both"/>
        <w:rPr>
          <w:b/>
          <w:bCs/>
        </w:rPr>
      </w:pPr>
    </w:p>
    <w:p w14:paraId="5E5767B4" w14:textId="259AB77C" w:rsidR="00737D1B" w:rsidRDefault="001D13D0" w:rsidP="00F40033">
      <w:pPr>
        <w:jc w:val="both"/>
      </w:pPr>
      <w:r w:rsidRPr="001D13D0">
        <w:t xml:space="preserve">The </w:t>
      </w:r>
      <w:r w:rsidR="009F48FE">
        <w:t xml:space="preserve">ESF and </w:t>
      </w:r>
      <w:r w:rsidRPr="001D13D0">
        <w:t>Project-affected People’s Mechanism</w:t>
      </w:r>
      <w:r>
        <w:t xml:space="preserve"> (PPM)</w:t>
      </w:r>
      <w:r w:rsidR="001077BB">
        <w:t xml:space="preserve"> </w:t>
      </w:r>
      <w:r w:rsidR="00DE7D1B">
        <w:t xml:space="preserve">are the two main components of the AIIB’s environmental and social accountability system and as such, the two are interdependent. The PPM </w:t>
      </w:r>
      <w:r w:rsidR="001077BB">
        <w:t xml:space="preserve">has now been in place since </w:t>
      </w:r>
      <w:r w:rsidR="00F40033">
        <w:t xml:space="preserve">December 2018, but at this stage remains largely untested. </w:t>
      </w:r>
      <w:r w:rsidR="000B1615">
        <w:t xml:space="preserve">The PPM plays a vital role in ensuring that the ESF is implemented, and </w:t>
      </w:r>
      <w:r w:rsidR="00336A0E">
        <w:t xml:space="preserve">that any failures to do so are investigated and addressed. </w:t>
      </w:r>
      <w:r w:rsidR="00D72E13">
        <w:t xml:space="preserve">From the early stages of </w:t>
      </w:r>
      <w:r w:rsidR="00983220">
        <w:t>the</w:t>
      </w:r>
      <w:r w:rsidR="00D72E13">
        <w:t xml:space="preserve"> development</w:t>
      </w:r>
      <w:r w:rsidR="00983220">
        <w:t xml:space="preserve"> of the PPM</w:t>
      </w:r>
      <w:r w:rsidR="00D72E13">
        <w:t xml:space="preserve">, the </w:t>
      </w:r>
      <w:r w:rsidR="00B4681C">
        <w:t>Complaints-</w:t>
      </w:r>
      <w:r w:rsidR="00F309A9">
        <w:t xml:space="preserve">resolution, </w:t>
      </w:r>
      <w:r w:rsidR="00983220">
        <w:t xml:space="preserve">Evaluation and Integrity Unit made clear that it aimed to create a mechanism that was proactive and able to address problems before they </w:t>
      </w:r>
      <w:r w:rsidR="00185289">
        <w:t>become full-blown complaints</w:t>
      </w:r>
      <w:r w:rsidR="00B03493">
        <w:t xml:space="preserve">, whenever possible. </w:t>
      </w:r>
      <w:r w:rsidR="000E5EBF">
        <w:t xml:space="preserve">One measure that has been put in place is the innovative </w:t>
      </w:r>
      <w:r w:rsidR="003154B6" w:rsidRPr="003154B6">
        <w:t xml:space="preserve">Project Processing Query (PPQ) </w:t>
      </w:r>
      <w:r w:rsidR="00381937">
        <w:t>option, in addition to the dispute resolution and compliance functions that most other grievance mechanisms have.</w:t>
      </w:r>
      <w:r w:rsidR="006571C0">
        <w:t xml:space="preserve"> </w:t>
      </w:r>
      <w:r w:rsidR="00CB00F1">
        <w:t xml:space="preserve">This aims </w:t>
      </w:r>
      <w:r w:rsidR="003154B6" w:rsidRPr="003154B6">
        <w:t xml:space="preserve">to enable Project-affected people to obtain rapid resolution of their concerns about simple matters that arise during </w:t>
      </w:r>
      <w:r w:rsidR="006571C0">
        <w:t xml:space="preserve">the environmental </w:t>
      </w:r>
      <w:r w:rsidR="009F48FE">
        <w:t xml:space="preserve">and </w:t>
      </w:r>
      <w:r w:rsidR="006571C0">
        <w:t xml:space="preserve">social due diligence stages of a project. A major </w:t>
      </w:r>
      <w:r w:rsidR="003B7BBD">
        <w:t xml:space="preserve">impediment to </w:t>
      </w:r>
      <w:r w:rsidR="0060771E">
        <w:t xml:space="preserve">the effectiveness of this </w:t>
      </w:r>
      <w:r w:rsidR="006571C0">
        <w:t>function</w:t>
      </w:r>
      <w:r w:rsidR="00867907">
        <w:t xml:space="preserve"> is the lack of time-bound and early disclosure. As stated above, </w:t>
      </w:r>
      <w:r w:rsidR="00CB3EDF">
        <w:t xml:space="preserve">the ESF review should </w:t>
      </w:r>
      <w:r w:rsidR="0033362B">
        <w:t xml:space="preserve">bring in such requirements, which </w:t>
      </w:r>
      <w:r w:rsidR="00FA7A19">
        <w:t xml:space="preserve">will also have the impact of improving the </w:t>
      </w:r>
      <w:r w:rsidR="00637E54">
        <w:t xml:space="preserve">effectiveness of the PPM. </w:t>
      </w:r>
    </w:p>
    <w:p w14:paraId="5886A132" w14:textId="77777777" w:rsidR="00737D1B" w:rsidRDefault="00737D1B" w:rsidP="00F40033">
      <w:pPr>
        <w:jc w:val="both"/>
      </w:pPr>
    </w:p>
    <w:p w14:paraId="4E67F0A8" w14:textId="2A212197" w:rsidR="006C3076" w:rsidRPr="001D427E" w:rsidRDefault="006C3076" w:rsidP="00F40033">
      <w:pPr>
        <w:jc w:val="both"/>
      </w:pPr>
    </w:p>
    <w:sectPr w:rsidR="006C3076" w:rsidRPr="001D42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A31A5" w14:textId="77777777" w:rsidR="00700C7F" w:rsidRDefault="00700C7F" w:rsidP="00B37F2D">
      <w:r>
        <w:separator/>
      </w:r>
    </w:p>
  </w:endnote>
  <w:endnote w:type="continuationSeparator" w:id="0">
    <w:p w14:paraId="29BC978A" w14:textId="77777777" w:rsidR="00700C7F" w:rsidRDefault="00700C7F" w:rsidP="00B3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altName w:val="Courier New"/>
    <w:panose1 w:val="020B0604020202020204"/>
    <w:charset w:val="00"/>
    <w:family w:val="swiss"/>
    <w:pitch w:val="variable"/>
    <w:sig w:usb0="E4002EFF" w:usb1="C000E47F" w:usb2="00000009" w:usb3="00000000" w:csb0="000001FF" w:csb1="00000000"/>
  </w:font>
  <w:font w:name="FONNDS+TimesNewRomanPSMT">
    <w:altName w:val="Cambria"/>
    <w:panose1 w:val="020B06040202020202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456FD" w14:textId="77777777" w:rsidR="00700C7F" w:rsidRDefault="00700C7F" w:rsidP="00B37F2D">
      <w:r>
        <w:separator/>
      </w:r>
    </w:p>
  </w:footnote>
  <w:footnote w:type="continuationSeparator" w:id="0">
    <w:p w14:paraId="40003EF8" w14:textId="77777777" w:rsidR="00700C7F" w:rsidRDefault="00700C7F" w:rsidP="00B37F2D">
      <w:r>
        <w:continuationSeparator/>
      </w:r>
    </w:p>
  </w:footnote>
  <w:footnote w:id="1">
    <w:p w14:paraId="33E153D2" w14:textId="77777777" w:rsidR="007F39A0" w:rsidRPr="00F10E0F" w:rsidRDefault="007F39A0" w:rsidP="00F10E0F">
      <w:pPr>
        <w:pStyle w:val="FootnoteText"/>
        <w:ind w:left="142" w:hanging="142"/>
        <w:jc w:val="left"/>
        <w:rPr>
          <w:rFonts w:ascii="Times New Roman" w:hAnsi="Times New Roman" w:cs="Times New Roman"/>
        </w:rPr>
      </w:pPr>
      <w:r w:rsidRPr="00F10E0F">
        <w:rPr>
          <w:rStyle w:val="FootnoteReference"/>
          <w:rFonts w:ascii="Times New Roman" w:hAnsi="Times New Roman" w:cs="Times New Roman"/>
        </w:rPr>
        <w:footnoteRef/>
      </w:r>
      <w:r w:rsidRPr="00F10E0F">
        <w:rPr>
          <w:rFonts w:ascii="Times New Roman" w:hAnsi="Times New Roman" w:cs="Times New Roman"/>
        </w:rPr>
        <w:t xml:space="preserve"> Coastal Livelihood and Environmental Action Network (2018), </w:t>
      </w:r>
      <w:r w:rsidRPr="00F10E0F">
        <w:rPr>
          <w:rFonts w:ascii="Times New Roman" w:hAnsi="Times New Roman" w:cs="Times New Roman"/>
          <w:i/>
          <w:iCs/>
        </w:rPr>
        <w:t>Bhola Integrated Power Plant (Bhola IPP) and its Impact on Local Communities: Voices from the Ground: A Civil Society Study Report</w:t>
      </w:r>
      <w:r w:rsidRPr="00F10E0F">
        <w:rPr>
          <w:rFonts w:ascii="Times New Roman" w:hAnsi="Times New Roman" w:cs="Times New Roman"/>
        </w:rPr>
        <w:t xml:space="preserve">. </w:t>
      </w:r>
      <w:hyperlink r:id="rId1" w:history="1">
        <w:r w:rsidRPr="00167B73">
          <w:rPr>
            <w:rStyle w:val="Hyperlink"/>
            <w:rFonts w:ascii="Times New Roman" w:hAnsi="Times New Roman" w:cs="Times New Roman"/>
          </w:rPr>
          <w:t>https://www.researchgate.net/publication/328980276_Bhola_Integrated_Power_Plant_Bhola_IPP_and_its_Impact_on_Local_Communities_Voices_from_the_Ground_A_Civil_Society_Study_Report</w:t>
        </w:r>
      </w:hyperlink>
    </w:p>
  </w:footnote>
  <w:footnote w:id="2">
    <w:p w14:paraId="6DE80AE2" w14:textId="70A8F315" w:rsidR="007F39A0" w:rsidRPr="00F10E0F" w:rsidRDefault="007F39A0" w:rsidP="00167B73">
      <w:pPr>
        <w:pStyle w:val="FootnoteText"/>
        <w:ind w:left="142" w:hanging="142"/>
        <w:jc w:val="left"/>
        <w:rPr>
          <w:rFonts w:ascii="Times New Roman" w:hAnsi="Times New Roman" w:cs="Times New Roman"/>
        </w:rPr>
      </w:pPr>
      <w:r w:rsidRPr="00F10E0F">
        <w:rPr>
          <w:rStyle w:val="FootnoteReference"/>
          <w:rFonts w:ascii="Times New Roman" w:hAnsi="Times New Roman" w:cs="Times New Roman"/>
        </w:rPr>
        <w:footnoteRef/>
      </w:r>
      <w:r w:rsidRPr="00F10E0F">
        <w:rPr>
          <w:rFonts w:ascii="Times New Roman" w:hAnsi="Times New Roman" w:cs="Times New Roman"/>
        </w:rPr>
        <w:t xml:space="preserve"> </w:t>
      </w:r>
      <w:r w:rsidRPr="00F10E0F">
        <w:rPr>
          <w:rFonts w:ascii="Times New Roman" w:hAnsi="Times New Roman" w:cs="Times New Roman"/>
        </w:rPr>
        <w:t xml:space="preserve">Nezir Sinani, David Pred (2019), </w:t>
      </w:r>
      <w:r w:rsidRPr="00167B73">
        <w:rPr>
          <w:rFonts w:ascii="Times New Roman" w:hAnsi="Times New Roman" w:cs="Times New Roman"/>
          <w:i/>
          <w:iCs/>
        </w:rPr>
        <w:t xml:space="preserve">Opinion: Can the World Bank clean up its fossil fuel </w:t>
      </w:r>
      <w:r w:rsidRPr="00167B73">
        <w:rPr>
          <w:rFonts w:ascii="Times New Roman" w:hAnsi="Times New Roman" w:cs="Times New Roman"/>
          <w:i/>
          <w:iCs/>
        </w:rPr>
        <w:t>problem?</w:t>
      </w:r>
      <w:r w:rsidRPr="00F10E0F">
        <w:rPr>
          <w:rFonts w:ascii="Times New Roman" w:hAnsi="Times New Roman" w:cs="Times New Roman"/>
        </w:rPr>
        <w:t xml:space="preserve">, Devex. </w:t>
      </w:r>
      <w:hyperlink r:id="rId2" w:history="1">
        <w:r w:rsidRPr="00167B73">
          <w:rPr>
            <w:rStyle w:val="Hyperlink"/>
            <w:rFonts w:ascii="Times New Roman" w:hAnsi="Times New Roman" w:cs="Times New Roman"/>
          </w:rPr>
          <w:t>https://www.devex.com/news/opinion-can-the-world-bank-clean-up-its-fossil-fuel-problem-95254</w:t>
        </w:r>
      </w:hyperlink>
    </w:p>
  </w:footnote>
  <w:footnote w:id="3">
    <w:p w14:paraId="7F13E28B" w14:textId="1C672464" w:rsidR="007F39A0" w:rsidRPr="00F10E0F" w:rsidRDefault="007F39A0" w:rsidP="00167B73">
      <w:pPr>
        <w:pStyle w:val="FootnoteText"/>
        <w:ind w:left="142" w:hanging="142"/>
        <w:jc w:val="left"/>
        <w:rPr>
          <w:rFonts w:ascii="Times New Roman" w:hAnsi="Times New Roman" w:cs="Times New Roman"/>
        </w:rPr>
      </w:pPr>
      <w:r w:rsidRPr="00F10E0F">
        <w:rPr>
          <w:rStyle w:val="FootnoteReference"/>
          <w:rFonts w:ascii="Times New Roman" w:hAnsi="Times New Roman" w:cs="Times New Roman"/>
        </w:rPr>
        <w:footnoteRef/>
      </w:r>
      <w:r w:rsidRPr="00F10E0F">
        <w:rPr>
          <w:rFonts w:ascii="Times New Roman" w:hAnsi="Times New Roman" w:cs="Times New Roman"/>
        </w:rPr>
        <w:t xml:space="preserve"> For more information see: BIC Europe, </w:t>
      </w:r>
      <w:r w:rsidRPr="00167B73">
        <w:rPr>
          <w:rFonts w:ascii="Times New Roman" w:hAnsi="Times New Roman" w:cs="Times New Roman"/>
          <w:i/>
          <w:iCs/>
        </w:rPr>
        <w:t xml:space="preserve">SOMO &amp; Inclusive Development International (2018), Financing development in Myanmar </w:t>
      </w:r>
      <w:r w:rsidRPr="00167B73">
        <w:rPr>
          <w:rFonts w:ascii="Times New Roman" w:hAnsi="Times New Roman" w:cs="Times New Roman"/>
          <w:i/>
          <w:iCs/>
        </w:rPr>
        <w:t xml:space="preserve">The case of </w:t>
      </w:r>
      <w:r w:rsidRPr="00167B73">
        <w:rPr>
          <w:rFonts w:ascii="Times New Roman" w:hAnsi="Times New Roman" w:cs="Times New Roman"/>
          <w:i/>
          <w:iCs/>
        </w:rPr>
        <w:t xml:space="preserve">Shwe Taung Cement. </w:t>
      </w:r>
      <w:hyperlink r:id="rId3" w:history="1">
        <w:r w:rsidRPr="00167B73">
          <w:rPr>
            <w:rStyle w:val="Hyperlink"/>
            <w:rFonts w:ascii="Times New Roman" w:hAnsi="Times New Roman" w:cs="Times New Roman"/>
          </w:rPr>
          <w:t>https://www.inclusivedevelopment.net/wp-content/uploads/2019/01/Financing-development-in-Myanmar-FINAL.pdf</w:t>
        </w:r>
      </w:hyperlink>
      <w:r w:rsidRPr="00F10E0F">
        <w:rPr>
          <w:rFonts w:ascii="Times New Roman" w:hAnsi="Times New Roman" w:cs="Times New Roman"/>
        </w:rPr>
        <w:t xml:space="preserve"> and BIC Europe &amp; Inclus</w:t>
      </w:r>
      <w:r w:rsidRPr="00167B73">
        <w:rPr>
          <w:rFonts w:ascii="Times New Roman" w:hAnsi="Times New Roman" w:cs="Times New Roman"/>
        </w:rPr>
        <w:t xml:space="preserve">ive Development International (2018), </w:t>
      </w:r>
      <w:r w:rsidRPr="00167B73">
        <w:rPr>
          <w:rFonts w:ascii="Times New Roman" w:hAnsi="Times New Roman" w:cs="Times New Roman"/>
          <w:i/>
          <w:iCs/>
        </w:rPr>
        <w:t>Moving beyond rhetoric How the AIIB can close the loophole on fossil fuels.</w:t>
      </w:r>
      <w:r w:rsidRPr="00F10E0F">
        <w:rPr>
          <w:rFonts w:ascii="Times New Roman" w:hAnsi="Times New Roman" w:cs="Times New Roman"/>
        </w:rPr>
        <w:t xml:space="preserve"> </w:t>
      </w:r>
      <w:hyperlink r:id="rId4" w:history="1">
        <w:r w:rsidRPr="00167B73">
          <w:rPr>
            <w:rStyle w:val="Hyperlink"/>
            <w:rFonts w:ascii="Times New Roman" w:hAnsi="Times New Roman" w:cs="Times New Roman"/>
          </w:rPr>
          <w:t>https://www.inclusivedevelopment.net/wp-content/uploads/2018/09/Moving-beyond-rhetoric_FINAL.pdf</w:t>
        </w:r>
      </w:hyperlink>
    </w:p>
  </w:footnote>
  <w:footnote w:id="4">
    <w:p w14:paraId="427AF1B7" w14:textId="22541CF4" w:rsidR="007F39A0" w:rsidRPr="00F10E0F" w:rsidRDefault="007F39A0" w:rsidP="00F10E0F">
      <w:pPr>
        <w:pStyle w:val="FootnoteText"/>
        <w:ind w:left="142" w:hanging="142"/>
        <w:jc w:val="left"/>
        <w:rPr>
          <w:rFonts w:ascii="Times New Roman" w:hAnsi="Times New Roman" w:cs="Times New Roman"/>
        </w:rPr>
      </w:pPr>
      <w:r w:rsidRPr="00F10E0F">
        <w:rPr>
          <w:rStyle w:val="FootnoteReference"/>
          <w:rFonts w:ascii="Times New Roman" w:hAnsi="Times New Roman" w:cs="Times New Roman"/>
        </w:rPr>
        <w:footnoteRef/>
      </w:r>
      <w:r w:rsidRPr="00F10E0F">
        <w:rPr>
          <w:rFonts w:ascii="Times New Roman" w:hAnsi="Times New Roman" w:cs="Times New Roman"/>
        </w:rPr>
        <w:t xml:space="preserve"> AIIB (2019), </w:t>
      </w:r>
      <w:r w:rsidRPr="00167B73">
        <w:rPr>
          <w:rFonts w:ascii="Times New Roman" w:hAnsi="Times New Roman" w:cs="Times New Roman"/>
          <w:i/>
          <w:iCs/>
        </w:rPr>
        <w:t xml:space="preserve">Project Summary Information: Infrastructure Private Capital Mobilization Platform. </w:t>
      </w:r>
      <w:hyperlink r:id="rId5" w:history="1">
        <w:r w:rsidRPr="00167B73">
          <w:rPr>
            <w:rStyle w:val="Hyperlink"/>
            <w:rFonts w:ascii="Times New Roman" w:hAnsi="Times New Roman" w:cs="Times New Roman"/>
          </w:rPr>
          <w:t>https://www.aiib.org/en/projects/approved/2019/_download/infrastructure-private-capital-mobilization-platform.pdf</w:t>
        </w:r>
      </w:hyperlink>
    </w:p>
  </w:footnote>
  <w:footnote w:id="5">
    <w:p w14:paraId="0197D44C" w14:textId="6280E2B1" w:rsidR="007F39A0" w:rsidRPr="00F10E0F" w:rsidRDefault="007F39A0" w:rsidP="00167B73">
      <w:pPr>
        <w:pStyle w:val="FootnoteText"/>
        <w:ind w:left="142" w:hanging="142"/>
        <w:jc w:val="left"/>
        <w:rPr>
          <w:rFonts w:ascii="Times New Roman" w:hAnsi="Times New Roman" w:cs="Times New Roman"/>
        </w:rPr>
      </w:pPr>
      <w:r w:rsidRPr="00F10E0F">
        <w:rPr>
          <w:rStyle w:val="FootnoteReference"/>
          <w:rFonts w:ascii="Times New Roman" w:hAnsi="Times New Roman" w:cs="Times New Roman"/>
        </w:rPr>
        <w:footnoteRef/>
      </w:r>
      <w:r w:rsidRPr="00F10E0F">
        <w:rPr>
          <w:rFonts w:ascii="Times New Roman" w:hAnsi="Times New Roman" w:cs="Times New Roman"/>
        </w:rPr>
        <w:t xml:space="preserve"> AIIB (2019),</w:t>
      </w:r>
      <w:r w:rsidRPr="00167B73">
        <w:rPr>
          <w:rFonts w:ascii="Times New Roman" w:hAnsi="Times New Roman" w:cs="Times New Roman"/>
        </w:rPr>
        <w:t xml:space="preserve"> </w:t>
      </w:r>
      <w:r w:rsidRPr="00167B73">
        <w:rPr>
          <w:rFonts w:ascii="Times New Roman" w:hAnsi="Times New Roman" w:cs="Times New Roman"/>
          <w:i/>
          <w:iCs/>
        </w:rPr>
        <w:t xml:space="preserve">AIIB Asia ESG Enhanced Credit Managed Portfolio. </w:t>
      </w:r>
      <w:hyperlink r:id="rId6" w:history="1">
        <w:r w:rsidRPr="00167B73">
          <w:rPr>
            <w:rStyle w:val="Hyperlink"/>
            <w:rFonts w:ascii="Times New Roman" w:hAnsi="Times New Roman" w:cs="Times New Roman"/>
          </w:rPr>
          <w:t>https://www.aiib.org/en/projects/approved/2018/_download/regional/Asia-ESG-Enhanced-Credit-Managed-Portfolio.pdf</w:t>
        </w:r>
      </w:hyperlink>
    </w:p>
  </w:footnote>
  <w:footnote w:id="6">
    <w:p w14:paraId="7F36FEAD" w14:textId="49E81479" w:rsidR="007F39A0" w:rsidRPr="00167B73" w:rsidRDefault="007F39A0" w:rsidP="00167B73">
      <w:pPr>
        <w:pStyle w:val="FootnoteText"/>
        <w:ind w:left="142" w:hanging="142"/>
        <w:jc w:val="left"/>
        <w:rPr>
          <w:rFonts w:ascii="Times New Roman" w:hAnsi="Times New Roman" w:cs="Times New Roman"/>
          <w:lang w:val="en-US"/>
        </w:rPr>
      </w:pPr>
      <w:r w:rsidRPr="00167B73">
        <w:rPr>
          <w:rStyle w:val="FootnoteReference"/>
          <w:rFonts w:ascii="Times New Roman" w:hAnsi="Times New Roman" w:cs="Times New Roman"/>
        </w:rPr>
        <w:footnoteRef/>
      </w:r>
      <w:r w:rsidRPr="00167B73">
        <w:rPr>
          <w:rFonts w:ascii="Times New Roman" w:hAnsi="Times New Roman" w:cs="Times New Roman"/>
        </w:rPr>
        <w:t xml:space="preserve"> </w:t>
      </w:r>
      <w:r w:rsidRPr="00167B73">
        <w:rPr>
          <w:rFonts w:ascii="Times New Roman" w:hAnsi="Times New Roman" w:cs="Times New Roman"/>
          <w:lang w:val="en-US"/>
        </w:rPr>
        <w:t>State Street Global Advisors</w:t>
      </w:r>
      <w:r w:rsidR="00F10E0F" w:rsidRPr="00F10E0F">
        <w:rPr>
          <w:rFonts w:ascii="Times New Roman" w:hAnsi="Times New Roman" w:cs="Times New Roman"/>
          <w:lang w:val="en-US"/>
        </w:rPr>
        <w:t xml:space="preserve"> (2019)</w:t>
      </w:r>
      <w:r w:rsidRPr="00167B73">
        <w:rPr>
          <w:rFonts w:ascii="Times New Roman" w:hAnsi="Times New Roman" w:cs="Times New Roman"/>
          <w:lang w:val="en-US"/>
        </w:rPr>
        <w:t xml:space="preserve">, </w:t>
      </w:r>
      <w:r w:rsidRPr="00167B73">
        <w:rPr>
          <w:rFonts w:ascii="Times New Roman" w:hAnsi="Times New Roman" w:cs="Times New Roman"/>
          <w:i/>
          <w:iCs/>
          <w:lang w:val="en-US"/>
        </w:rPr>
        <w:t>Into the Mainstream: ESG at the Tipping Point</w:t>
      </w:r>
      <w:r w:rsidRPr="00167B73">
        <w:rPr>
          <w:rFonts w:ascii="Times New Roman" w:hAnsi="Times New Roman" w:cs="Times New Roman"/>
          <w:lang w:val="en-US"/>
        </w:rPr>
        <w:t xml:space="preserve">. </w:t>
      </w:r>
      <w:hyperlink r:id="rId7" w:history="1">
        <w:r w:rsidR="00F10E0F" w:rsidRPr="00167B73">
          <w:rPr>
            <w:rStyle w:val="Hyperlink"/>
            <w:rFonts w:ascii="Times New Roman" w:hAnsi="Times New Roman" w:cs="Times New Roman"/>
          </w:rPr>
          <w:t>https://corpgov.law.harvard.edu/2020/01/13/into-the-mainstream-esg-at-the-tipping-point/</w:t>
        </w:r>
      </w:hyperlink>
    </w:p>
  </w:footnote>
  <w:footnote w:id="7">
    <w:p w14:paraId="0B11689B" w14:textId="0D5332CD" w:rsidR="007F39A0" w:rsidRPr="00F10E0F" w:rsidRDefault="007F39A0" w:rsidP="00167B73">
      <w:pPr>
        <w:pStyle w:val="FootnoteText"/>
        <w:ind w:left="142" w:hanging="142"/>
        <w:jc w:val="left"/>
        <w:rPr>
          <w:rFonts w:ascii="Times New Roman" w:hAnsi="Times New Roman" w:cs="Times New Roman"/>
        </w:rPr>
      </w:pPr>
      <w:r w:rsidRPr="00F10E0F">
        <w:rPr>
          <w:rStyle w:val="FootnoteReference"/>
          <w:rFonts w:ascii="Times New Roman" w:hAnsi="Times New Roman" w:cs="Times New Roman"/>
        </w:rPr>
        <w:footnoteRef/>
      </w:r>
      <w:r w:rsidRPr="00F10E0F">
        <w:rPr>
          <w:rFonts w:ascii="Times New Roman" w:hAnsi="Times New Roman" w:cs="Times New Roman"/>
        </w:rPr>
        <w:t xml:space="preserve"> BIC Europe (2019), </w:t>
      </w:r>
      <w:r w:rsidRPr="00F10E0F">
        <w:rPr>
          <w:rFonts w:ascii="Times New Roman" w:hAnsi="Times New Roman" w:cs="Times New Roman"/>
          <w:i/>
          <w:iCs/>
        </w:rPr>
        <w:t>AIIB's Climate Loopholes</w:t>
      </w:r>
      <w:r w:rsidRPr="00F10E0F">
        <w:rPr>
          <w:rFonts w:ascii="Times New Roman" w:hAnsi="Times New Roman" w:cs="Times New Roman"/>
        </w:rPr>
        <w:t xml:space="preserve">. </w:t>
      </w:r>
      <w:hyperlink r:id="rId8" w:history="1">
        <w:r w:rsidRPr="00167B73">
          <w:rPr>
            <w:rStyle w:val="Hyperlink"/>
            <w:rFonts w:ascii="Times New Roman" w:hAnsi="Times New Roman" w:cs="Times New Roman"/>
          </w:rPr>
          <w:t>https://www.re-course.org/wp-content/uploads/2019/12/AIIB-Climate-Loopholes-Dec-19-FINAL-1.pdf</w:t>
        </w:r>
      </w:hyperlink>
    </w:p>
  </w:footnote>
  <w:footnote w:id="8">
    <w:p w14:paraId="2A62871D" w14:textId="77777777" w:rsidR="007F39A0" w:rsidRPr="00F10E0F" w:rsidRDefault="007F39A0" w:rsidP="00F10E0F">
      <w:pPr>
        <w:pStyle w:val="FootnoteText"/>
        <w:ind w:left="142" w:hanging="142"/>
        <w:jc w:val="left"/>
        <w:rPr>
          <w:rFonts w:ascii="Times New Roman" w:hAnsi="Times New Roman" w:cs="Times New Roman"/>
        </w:rPr>
      </w:pPr>
      <w:r w:rsidRPr="00F10E0F">
        <w:rPr>
          <w:rStyle w:val="FootnoteReference"/>
          <w:rFonts w:ascii="Times New Roman" w:hAnsi="Times New Roman" w:cs="Times New Roman"/>
        </w:rPr>
        <w:footnoteRef/>
      </w:r>
      <w:r w:rsidRPr="00F10E0F">
        <w:rPr>
          <w:rFonts w:ascii="Times New Roman" w:hAnsi="Times New Roman" w:cs="Times New Roman"/>
        </w:rPr>
        <w:t xml:space="preserve"> For more detailed recommendations on this issue, see: Bank Information </w:t>
      </w:r>
      <w:r w:rsidRPr="00F10E0F">
        <w:rPr>
          <w:rFonts w:ascii="Times New Roman" w:hAnsi="Times New Roman" w:cs="Times New Roman"/>
        </w:rPr>
        <w:t xml:space="preserve">Center Europe, NGO Forum on ADB &amp; Gender Action (2019), </w:t>
      </w:r>
      <w:r w:rsidRPr="00167B73">
        <w:rPr>
          <w:rFonts w:ascii="Times New Roman" w:hAnsi="Times New Roman" w:cs="Times New Roman"/>
          <w:i/>
          <w:iCs/>
        </w:rPr>
        <w:t xml:space="preserve">Do No Harm? Recommendations for the review of the Asian Infrastructure Investment Bank’s Environmental and Social Framework. </w:t>
      </w:r>
      <w:hyperlink r:id="rId9" w:history="1">
        <w:r w:rsidRPr="00167B73">
          <w:rPr>
            <w:rStyle w:val="Hyperlink"/>
            <w:rFonts w:ascii="Times New Roman" w:hAnsi="Times New Roman" w:cs="Times New Roman"/>
          </w:rPr>
          <w:t>https://bic-europe.org/wp-content/uploads/2019/12/Do-no-harm-Recommendationsfor-the-review-of-the-AIIBs-ESF.pdf</w:t>
        </w:r>
      </w:hyperlink>
    </w:p>
  </w:footnote>
  <w:footnote w:id="9">
    <w:p w14:paraId="558156C3" w14:textId="77777777" w:rsidR="007F39A0" w:rsidRPr="00F10E0F" w:rsidRDefault="007F39A0" w:rsidP="00F10E0F">
      <w:pPr>
        <w:pStyle w:val="FootnoteText"/>
        <w:ind w:left="142" w:hanging="142"/>
        <w:jc w:val="left"/>
        <w:rPr>
          <w:rFonts w:ascii="Times New Roman" w:hAnsi="Times New Roman" w:cs="Times New Roman"/>
        </w:rPr>
      </w:pPr>
      <w:r w:rsidRPr="00F10E0F">
        <w:rPr>
          <w:rStyle w:val="FootnoteReference"/>
          <w:rFonts w:ascii="Times New Roman" w:hAnsi="Times New Roman" w:cs="Times New Roman"/>
        </w:rPr>
        <w:footnoteRef/>
      </w:r>
      <w:r w:rsidRPr="00F10E0F">
        <w:rPr>
          <w:rFonts w:ascii="Times New Roman" w:hAnsi="Times New Roman" w:cs="Times New Roman"/>
        </w:rPr>
        <w:t xml:space="preserve"> Programme on Women’s Economic, Social and Cultural Rights (2019), </w:t>
      </w:r>
      <w:r w:rsidRPr="00F10E0F">
        <w:rPr>
          <w:rFonts w:ascii="Times New Roman" w:hAnsi="Times New Roman" w:cs="Times New Roman"/>
          <w:i/>
          <w:iCs/>
        </w:rPr>
        <w:t>AI</w:t>
      </w:r>
      <w:r w:rsidRPr="00167B73">
        <w:rPr>
          <w:rFonts w:ascii="Times New Roman" w:hAnsi="Times New Roman" w:cs="Times New Roman"/>
          <w:i/>
          <w:iCs/>
        </w:rPr>
        <w:t xml:space="preserve">IB’s Roads to Inequality: A gender case study from </w:t>
      </w:r>
      <w:r w:rsidRPr="00167B73">
        <w:rPr>
          <w:rFonts w:ascii="Times New Roman" w:hAnsi="Times New Roman" w:cs="Times New Roman"/>
          <w:i/>
          <w:iCs/>
        </w:rPr>
        <w:t xml:space="preserve">Gujurat. </w:t>
      </w:r>
      <w:hyperlink r:id="rId10" w:history="1">
        <w:r w:rsidRPr="00167B73">
          <w:rPr>
            <w:rStyle w:val="Hyperlink"/>
            <w:rFonts w:ascii="Times New Roman" w:hAnsi="Times New Roman" w:cs="Times New Roman"/>
          </w:rPr>
          <w:t>https://www.pwescr.org/AIIB%20Roads%20to%20Inequality,%20Report%20from%20Gujarat.pdf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75D80"/>
    <w:multiLevelType w:val="hybridMultilevel"/>
    <w:tmpl w:val="86329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F64997"/>
    <w:multiLevelType w:val="hybridMultilevel"/>
    <w:tmpl w:val="76647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EBA7F82"/>
    <w:multiLevelType w:val="hybridMultilevel"/>
    <w:tmpl w:val="ECF4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C558DC"/>
    <w:multiLevelType w:val="multilevel"/>
    <w:tmpl w:val="8E3641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40A1259"/>
    <w:multiLevelType w:val="hybridMultilevel"/>
    <w:tmpl w:val="48E01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151A2B"/>
    <w:multiLevelType w:val="hybridMultilevel"/>
    <w:tmpl w:val="3DE2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582BF6"/>
    <w:multiLevelType w:val="hybridMultilevel"/>
    <w:tmpl w:val="65362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757D7F"/>
    <w:multiLevelType w:val="hybridMultilevel"/>
    <w:tmpl w:val="A3324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04B"/>
    <w:rsid w:val="00004980"/>
    <w:rsid w:val="00012AFE"/>
    <w:rsid w:val="000143B7"/>
    <w:rsid w:val="00015FC0"/>
    <w:rsid w:val="00020398"/>
    <w:rsid w:val="000203F1"/>
    <w:rsid w:val="00024F29"/>
    <w:rsid w:val="0003225F"/>
    <w:rsid w:val="0005377D"/>
    <w:rsid w:val="00062D38"/>
    <w:rsid w:val="000631DD"/>
    <w:rsid w:val="000756BD"/>
    <w:rsid w:val="000954F4"/>
    <w:rsid w:val="00095EBE"/>
    <w:rsid w:val="00096103"/>
    <w:rsid w:val="000B0D84"/>
    <w:rsid w:val="000B1615"/>
    <w:rsid w:val="000B4C65"/>
    <w:rsid w:val="000C7C56"/>
    <w:rsid w:val="000E5EBF"/>
    <w:rsid w:val="000F60B6"/>
    <w:rsid w:val="000F7722"/>
    <w:rsid w:val="0010397F"/>
    <w:rsid w:val="001059CC"/>
    <w:rsid w:val="001077BB"/>
    <w:rsid w:val="00112C9B"/>
    <w:rsid w:val="001140B8"/>
    <w:rsid w:val="00114AF3"/>
    <w:rsid w:val="00126434"/>
    <w:rsid w:val="0013143D"/>
    <w:rsid w:val="00145E60"/>
    <w:rsid w:val="00146D9F"/>
    <w:rsid w:val="00146FE2"/>
    <w:rsid w:val="00151ABC"/>
    <w:rsid w:val="0016197E"/>
    <w:rsid w:val="001630A5"/>
    <w:rsid w:val="00163878"/>
    <w:rsid w:val="00164E17"/>
    <w:rsid w:val="00167B73"/>
    <w:rsid w:val="00172513"/>
    <w:rsid w:val="00185289"/>
    <w:rsid w:val="00191913"/>
    <w:rsid w:val="001C7043"/>
    <w:rsid w:val="001D0774"/>
    <w:rsid w:val="001D13D0"/>
    <w:rsid w:val="001D427E"/>
    <w:rsid w:val="001E0C10"/>
    <w:rsid w:val="001F229B"/>
    <w:rsid w:val="001F5CD4"/>
    <w:rsid w:val="0020475C"/>
    <w:rsid w:val="00214AE4"/>
    <w:rsid w:val="0022740C"/>
    <w:rsid w:val="002502E7"/>
    <w:rsid w:val="00257229"/>
    <w:rsid w:val="00265A92"/>
    <w:rsid w:val="00266154"/>
    <w:rsid w:val="0027204C"/>
    <w:rsid w:val="00275EAF"/>
    <w:rsid w:val="00290E81"/>
    <w:rsid w:val="002921F6"/>
    <w:rsid w:val="00293C02"/>
    <w:rsid w:val="002A6E82"/>
    <w:rsid w:val="002A7179"/>
    <w:rsid w:val="002B41AC"/>
    <w:rsid w:val="002B5DC3"/>
    <w:rsid w:val="002D1A2A"/>
    <w:rsid w:val="002D760B"/>
    <w:rsid w:val="002D7D5E"/>
    <w:rsid w:val="002E03F9"/>
    <w:rsid w:val="002E3FD1"/>
    <w:rsid w:val="002F0994"/>
    <w:rsid w:val="002F0EA4"/>
    <w:rsid w:val="002F1BFF"/>
    <w:rsid w:val="002F4AF7"/>
    <w:rsid w:val="002F6B6E"/>
    <w:rsid w:val="00300154"/>
    <w:rsid w:val="00301E45"/>
    <w:rsid w:val="00302F7D"/>
    <w:rsid w:val="003107E2"/>
    <w:rsid w:val="003154B6"/>
    <w:rsid w:val="003271F1"/>
    <w:rsid w:val="0033362B"/>
    <w:rsid w:val="00336A0E"/>
    <w:rsid w:val="003546DB"/>
    <w:rsid w:val="003548CC"/>
    <w:rsid w:val="00355D3D"/>
    <w:rsid w:val="003560AF"/>
    <w:rsid w:val="003567FE"/>
    <w:rsid w:val="00362A54"/>
    <w:rsid w:val="00381937"/>
    <w:rsid w:val="003A513A"/>
    <w:rsid w:val="003B6BE1"/>
    <w:rsid w:val="003B7BBD"/>
    <w:rsid w:val="003C3E14"/>
    <w:rsid w:val="003D4DB8"/>
    <w:rsid w:val="003D6216"/>
    <w:rsid w:val="003D653B"/>
    <w:rsid w:val="003F1303"/>
    <w:rsid w:val="003F14C1"/>
    <w:rsid w:val="003F4EA5"/>
    <w:rsid w:val="003F7174"/>
    <w:rsid w:val="00436E4E"/>
    <w:rsid w:val="004471CB"/>
    <w:rsid w:val="00447BE1"/>
    <w:rsid w:val="00455ECE"/>
    <w:rsid w:val="00457D45"/>
    <w:rsid w:val="004607FA"/>
    <w:rsid w:val="004B4C40"/>
    <w:rsid w:val="004C0CB4"/>
    <w:rsid w:val="004C1B23"/>
    <w:rsid w:val="004C5BD0"/>
    <w:rsid w:val="004C7E5A"/>
    <w:rsid w:val="004D3646"/>
    <w:rsid w:val="004D50B6"/>
    <w:rsid w:val="004F3CBE"/>
    <w:rsid w:val="00502714"/>
    <w:rsid w:val="00502898"/>
    <w:rsid w:val="00502A12"/>
    <w:rsid w:val="00503F55"/>
    <w:rsid w:val="005427E3"/>
    <w:rsid w:val="00563042"/>
    <w:rsid w:val="005744CB"/>
    <w:rsid w:val="0057504A"/>
    <w:rsid w:val="005831E7"/>
    <w:rsid w:val="00583C97"/>
    <w:rsid w:val="00593B47"/>
    <w:rsid w:val="005A3B4D"/>
    <w:rsid w:val="005A47E1"/>
    <w:rsid w:val="005A58FA"/>
    <w:rsid w:val="005A6230"/>
    <w:rsid w:val="005B0ED0"/>
    <w:rsid w:val="005D415B"/>
    <w:rsid w:val="005D7DDC"/>
    <w:rsid w:val="005D7DF7"/>
    <w:rsid w:val="005E3561"/>
    <w:rsid w:val="005E7333"/>
    <w:rsid w:val="005F4186"/>
    <w:rsid w:val="00603503"/>
    <w:rsid w:val="00603D17"/>
    <w:rsid w:val="006055AC"/>
    <w:rsid w:val="0060771E"/>
    <w:rsid w:val="006143D5"/>
    <w:rsid w:val="006236A0"/>
    <w:rsid w:val="00623A17"/>
    <w:rsid w:val="0063271E"/>
    <w:rsid w:val="00636CC9"/>
    <w:rsid w:val="00637E54"/>
    <w:rsid w:val="00644B8E"/>
    <w:rsid w:val="00650307"/>
    <w:rsid w:val="0065205C"/>
    <w:rsid w:val="006557EA"/>
    <w:rsid w:val="006571C0"/>
    <w:rsid w:val="00660002"/>
    <w:rsid w:val="00665A4C"/>
    <w:rsid w:val="0066754A"/>
    <w:rsid w:val="00685651"/>
    <w:rsid w:val="00697369"/>
    <w:rsid w:val="006A54B2"/>
    <w:rsid w:val="006A56BE"/>
    <w:rsid w:val="006A6350"/>
    <w:rsid w:val="006B0C6C"/>
    <w:rsid w:val="006B1A4A"/>
    <w:rsid w:val="006B6DE0"/>
    <w:rsid w:val="006C3076"/>
    <w:rsid w:val="006C62FD"/>
    <w:rsid w:val="006E6F83"/>
    <w:rsid w:val="006F3684"/>
    <w:rsid w:val="006F43F4"/>
    <w:rsid w:val="00700C7F"/>
    <w:rsid w:val="00700E40"/>
    <w:rsid w:val="007104DC"/>
    <w:rsid w:val="00711C2F"/>
    <w:rsid w:val="0072458F"/>
    <w:rsid w:val="00725C7C"/>
    <w:rsid w:val="007340CD"/>
    <w:rsid w:val="00737D1B"/>
    <w:rsid w:val="00750849"/>
    <w:rsid w:val="00751768"/>
    <w:rsid w:val="007531CF"/>
    <w:rsid w:val="007709A0"/>
    <w:rsid w:val="00773469"/>
    <w:rsid w:val="00774229"/>
    <w:rsid w:val="0078029C"/>
    <w:rsid w:val="00783B13"/>
    <w:rsid w:val="007852E6"/>
    <w:rsid w:val="00790E60"/>
    <w:rsid w:val="007A0E01"/>
    <w:rsid w:val="007A1A49"/>
    <w:rsid w:val="007A263E"/>
    <w:rsid w:val="007A3BE6"/>
    <w:rsid w:val="007B4564"/>
    <w:rsid w:val="007B612C"/>
    <w:rsid w:val="007B70B6"/>
    <w:rsid w:val="007C10EE"/>
    <w:rsid w:val="007C360F"/>
    <w:rsid w:val="007E4DCB"/>
    <w:rsid w:val="007F1216"/>
    <w:rsid w:val="007F39A0"/>
    <w:rsid w:val="0080259C"/>
    <w:rsid w:val="00811D8E"/>
    <w:rsid w:val="00814F0F"/>
    <w:rsid w:val="00814FB5"/>
    <w:rsid w:val="00822A58"/>
    <w:rsid w:val="008254A0"/>
    <w:rsid w:val="00830C3B"/>
    <w:rsid w:val="00850272"/>
    <w:rsid w:val="0085291D"/>
    <w:rsid w:val="00854C08"/>
    <w:rsid w:val="00857B6B"/>
    <w:rsid w:val="00860B26"/>
    <w:rsid w:val="00867907"/>
    <w:rsid w:val="00873542"/>
    <w:rsid w:val="008819C8"/>
    <w:rsid w:val="00883C2E"/>
    <w:rsid w:val="00892C6A"/>
    <w:rsid w:val="00895186"/>
    <w:rsid w:val="00897EF5"/>
    <w:rsid w:val="008B1448"/>
    <w:rsid w:val="008B1599"/>
    <w:rsid w:val="008B2578"/>
    <w:rsid w:val="008B5010"/>
    <w:rsid w:val="008C199F"/>
    <w:rsid w:val="008E0072"/>
    <w:rsid w:val="008E3585"/>
    <w:rsid w:val="008F3E2E"/>
    <w:rsid w:val="008F70EB"/>
    <w:rsid w:val="00903FB1"/>
    <w:rsid w:val="009041F1"/>
    <w:rsid w:val="00906D95"/>
    <w:rsid w:val="009107B1"/>
    <w:rsid w:val="00911ED1"/>
    <w:rsid w:val="00921365"/>
    <w:rsid w:val="00923059"/>
    <w:rsid w:val="009279CE"/>
    <w:rsid w:val="00930084"/>
    <w:rsid w:val="009375AA"/>
    <w:rsid w:val="009422B9"/>
    <w:rsid w:val="009424B6"/>
    <w:rsid w:val="00942C4F"/>
    <w:rsid w:val="00950AB9"/>
    <w:rsid w:val="00954BF3"/>
    <w:rsid w:val="00963690"/>
    <w:rsid w:val="00970D47"/>
    <w:rsid w:val="00971BAC"/>
    <w:rsid w:val="0097285F"/>
    <w:rsid w:val="00975334"/>
    <w:rsid w:val="00983220"/>
    <w:rsid w:val="00983B7C"/>
    <w:rsid w:val="00987E52"/>
    <w:rsid w:val="009A02AE"/>
    <w:rsid w:val="009B1165"/>
    <w:rsid w:val="009C7F58"/>
    <w:rsid w:val="009E2033"/>
    <w:rsid w:val="009E3B63"/>
    <w:rsid w:val="009E761D"/>
    <w:rsid w:val="009F0D2B"/>
    <w:rsid w:val="009F32D3"/>
    <w:rsid w:val="009F48FE"/>
    <w:rsid w:val="00A005AC"/>
    <w:rsid w:val="00A114A3"/>
    <w:rsid w:val="00A11EEA"/>
    <w:rsid w:val="00A177E5"/>
    <w:rsid w:val="00A20725"/>
    <w:rsid w:val="00A319D5"/>
    <w:rsid w:val="00A33AE6"/>
    <w:rsid w:val="00A41B8B"/>
    <w:rsid w:val="00A446D6"/>
    <w:rsid w:val="00A56173"/>
    <w:rsid w:val="00A60611"/>
    <w:rsid w:val="00A6627F"/>
    <w:rsid w:val="00A707F0"/>
    <w:rsid w:val="00A72DFE"/>
    <w:rsid w:val="00A74151"/>
    <w:rsid w:val="00A741D9"/>
    <w:rsid w:val="00A76726"/>
    <w:rsid w:val="00A81004"/>
    <w:rsid w:val="00A82034"/>
    <w:rsid w:val="00A84BF5"/>
    <w:rsid w:val="00A86734"/>
    <w:rsid w:val="00A91D11"/>
    <w:rsid w:val="00A9315C"/>
    <w:rsid w:val="00A96333"/>
    <w:rsid w:val="00AB0F19"/>
    <w:rsid w:val="00AB31A5"/>
    <w:rsid w:val="00AD2E09"/>
    <w:rsid w:val="00AE4EBF"/>
    <w:rsid w:val="00AE6FBF"/>
    <w:rsid w:val="00B03493"/>
    <w:rsid w:val="00B04B1B"/>
    <w:rsid w:val="00B13068"/>
    <w:rsid w:val="00B1310E"/>
    <w:rsid w:val="00B15FF7"/>
    <w:rsid w:val="00B22C1A"/>
    <w:rsid w:val="00B348DA"/>
    <w:rsid w:val="00B37F2D"/>
    <w:rsid w:val="00B4035D"/>
    <w:rsid w:val="00B4681C"/>
    <w:rsid w:val="00B46890"/>
    <w:rsid w:val="00B47506"/>
    <w:rsid w:val="00B47DB3"/>
    <w:rsid w:val="00B60B95"/>
    <w:rsid w:val="00B60BFD"/>
    <w:rsid w:val="00B642E6"/>
    <w:rsid w:val="00B64AD1"/>
    <w:rsid w:val="00B655CD"/>
    <w:rsid w:val="00B74ABD"/>
    <w:rsid w:val="00B818A7"/>
    <w:rsid w:val="00B86AB1"/>
    <w:rsid w:val="00B95C84"/>
    <w:rsid w:val="00BA7EF8"/>
    <w:rsid w:val="00BD4D39"/>
    <w:rsid w:val="00BD6DBD"/>
    <w:rsid w:val="00BE02A9"/>
    <w:rsid w:val="00BE3E82"/>
    <w:rsid w:val="00BE6316"/>
    <w:rsid w:val="00BF1204"/>
    <w:rsid w:val="00BF1D7F"/>
    <w:rsid w:val="00BF211C"/>
    <w:rsid w:val="00C04DCB"/>
    <w:rsid w:val="00C1528F"/>
    <w:rsid w:val="00C1604B"/>
    <w:rsid w:val="00C27998"/>
    <w:rsid w:val="00C324BD"/>
    <w:rsid w:val="00C45EFB"/>
    <w:rsid w:val="00C5171D"/>
    <w:rsid w:val="00C52639"/>
    <w:rsid w:val="00C52F2A"/>
    <w:rsid w:val="00C609EE"/>
    <w:rsid w:val="00C856C5"/>
    <w:rsid w:val="00CB00F1"/>
    <w:rsid w:val="00CB3EDF"/>
    <w:rsid w:val="00CC3A48"/>
    <w:rsid w:val="00CC4BB9"/>
    <w:rsid w:val="00CD2BC7"/>
    <w:rsid w:val="00CE54CF"/>
    <w:rsid w:val="00CF4BFD"/>
    <w:rsid w:val="00CF4D2F"/>
    <w:rsid w:val="00D03CC1"/>
    <w:rsid w:val="00D10AE1"/>
    <w:rsid w:val="00D17D29"/>
    <w:rsid w:val="00D20FCE"/>
    <w:rsid w:val="00D378F7"/>
    <w:rsid w:val="00D51828"/>
    <w:rsid w:val="00D54DB4"/>
    <w:rsid w:val="00D56482"/>
    <w:rsid w:val="00D677F4"/>
    <w:rsid w:val="00D72E13"/>
    <w:rsid w:val="00D73DF1"/>
    <w:rsid w:val="00DA2B33"/>
    <w:rsid w:val="00DB0810"/>
    <w:rsid w:val="00DB472F"/>
    <w:rsid w:val="00DC0C1C"/>
    <w:rsid w:val="00DC5AC2"/>
    <w:rsid w:val="00DD243C"/>
    <w:rsid w:val="00DD3414"/>
    <w:rsid w:val="00DD41D2"/>
    <w:rsid w:val="00DD4B7D"/>
    <w:rsid w:val="00DD65FD"/>
    <w:rsid w:val="00DE2744"/>
    <w:rsid w:val="00DE5E76"/>
    <w:rsid w:val="00DE61E4"/>
    <w:rsid w:val="00DE7D1B"/>
    <w:rsid w:val="00DF4C09"/>
    <w:rsid w:val="00E04503"/>
    <w:rsid w:val="00E0675F"/>
    <w:rsid w:val="00E111DD"/>
    <w:rsid w:val="00E12BAE"/>
    <w:rsid w:val="00E1336E"/>
    <w:rsid w:val="00E13445"/>
    <w:rsid w:val="00E2015B"/>
    <w:rsid w:val="00E25C5D"/>
    <w:rsid w:val="00E32B15"/>
    <w:rsid w:val="00E41DEA"/>
    <w:rsid w:val="00E427F3"/>
    <w:rsid w:val="00E46788"/>
    <w:rsid w:val="00E550DA"/>
    <w:rsid w:val="00E551A4"/>
    <w:rsid w:val="00E55C7E"/>
    <w:rsid w:val="00E56A6F"/>
    <w:rsid w:val="00E60FA2"/>
    <w:rsid w:val="00E624EF"/>
    <w:rsid w:val="00E74283"/>
    <w:rsid w:val="00E90F49"/>
    <w:rsid w:val="00EA743F"/>
    <w:rsid w:val="00EB4BC0"/>
    <w:rsid w:val="00EC2A8B"/>
    <w:rsid w:val="00EC44F4"/>
    <w:rsid w:val="00EC48CE"/>
    <w:rsid w:val="00ED4CF3"/>
    <w:rsid w:val="00ED575E"/>
    <w:rsid w:val="00ED59AC"/>
    <w:rsid w:val="00EE79A4"/>
    <w:rsid w:val="00EF3661"/>
    <w:rsid w:val="00F02BE2"/>
    <w:rsid w:val="00F0454D"/>
    <w:rsid w:val="00F10E0F"/>
    <w:rsid w:val="00F139CB"/>
    <w:rsid w:val="00F170CE"/>
    <w:rsid w:val="00F2536E"/>
    <w:rsid w:val="00F30825"/>
    <w:rsid w:val="00F309A9"/>
    <w:rsid w:val="00F33FE9"/>
    <w:rsid w:val="00F36A32"/>
    <w:rsid w:val="00F40033"/>
    <w:rsid w:val="00F46BA2"/>
    <w:rsid w:val="00F47003"/>
    <w:rsid w:val="00F62A71"/>
    <w:rsid w:val="00F7291A"/>
    <w:rsid w:val="00F72F89"/>
    <w:rsid w:val="00F75E6C"/>
    <w:rsid w:val="00F77283"/>
    <w:rsid w:val="00F77A4B"/>
    <w:rsid w:val="00F800FF"/>
    <w:rsid w:val="00F942C2"/>
    <w:rsid w:val="00FA21FB"/>
    <w:rsid w:val="00FA2666"/>
    <w:rsid w:val="00FA70A0"/>
    <w:rsid w:val="00FA7A19"/>
    <w:rsid w:val="00FB0EE5"/>
    <w:rsid w:val="00FB7378"/>
    <w:rsid w:val="00FC0D38"/>
    <w:rsid w:val="00FD48DA"/>
    <w:rsid w:val="00FD48FD"/>
    <w:rsid w:val="00FD7F27"/>
    <w:rsid w:val="00FE48C4"/>
    <w:rsid w:val="00FE4A12"/>
    <w:rsid w:val="00FE6548"/>
    <w:rsid w:val="00FF03EA"/>
    <w:rsid w:val="00FF0C6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C3CAAA"/>
  <w15:docId w15:val="{BB509C4A-FD8B-43A1-AA85-8D234BD3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04B"/>
    <w:pPr>
      <w:spacing w:after="0" w:line="240" w:lineRule="auto"/>
    </w:pPr>
    <w:rPr>
      <w:rFonts w:ascii="Times New Roman" w:hAnsi="Times New Roman"/>
      <w:sz w:val="24"/>
    </w:rPr>
  </w:style>
  <w:style w:type="paragraph" w:styleId="Heading1">
    <w:name w:val="heading 1"/>
    <w:basedOn w:val="Normal"/>
    <w:link w:val="Heading1Char"/>
    <w:uiPriority w:val="9"/>
    <w:qFormat/>
    <w:rsid w:val="00685651"/>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6C307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604B"/>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C1604B"/>
    <w:rPr>
      <w:color w:val="0563C1" w:themeColor="hyperlink"/>
      <w:u w:val="single"/>
    </w:rPr>
  </w:style>
  <w:style w:type="character" w:customStyle="1" w:styleId="UnresolvedMention1">
    <w:name w:val="Unresolved Mention1"/>
    <w:basedOn w:val="DefaultParagraphFont"/>
    <w:uiPriority w:val="99"/>
    <w:semiHidden/>
    <w:unhideWhenUsed/>
    <w:rsid w:val="00C1604B"/>
    <w:rPr>
      <w:color w:val="605E5C"/>
      <w:shd w:val="clear" w:color="auto" w:fill="E1DFDD"/>
    </w:rPr>
  </w:style>
  <w:style w:type="paragraph" w:styleId="BalloonText">
    <w:name w:val="Balloon Text"/>
    <w:basedOn w:val="Normal"/>
    <w:link w:val="BalloonTextChar"/>
    <w:uiPriority w:val="99"/>
    <w:semiHidden/>
    <w:unhideWhenUsed/>
    <w:rsid w:val="009279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9CE"/>
    <w:rPr>
      <w:rFonts w:ascii="Segoe UI" w:hAnsi="Segoe UI" w:cs="Segoe UI"/>
      <w:sz w:val="18"/>
      <w:szCs w:val="18"/>
    </w:rPr>
  </w:style>
  <w:style w:type="character" w:styleId="CommentReference">
    <w:name w:val="annotation reference"/>
    <w:basedOn w:val="DefaultParagraphFont"/>
    <w:uiPriority w:val="99"/>
    <w:semiHidden/>
    <w:unhideWhenUsed/>
    <w:rsid w:val="009279CE"/>
    <w:rPr>
      <w:sz w:val="16"/>
      <w:szCs w:val="16"/>
    </w:rPr>
  </w:style>
  <w:style w:type="paragraph" w:styleId="CommentText">
    <w:name w:val="annotation text"/>
    <w:basedOn w:val="Normal"/>
    <w:link w:val="CommentTextChar"/>
    <w:uiPriority w:val="99"/>
    <w:unhideWhenUsed/>
    <w:rsid w:val="009279CE"/>
    <w:rPr>
      <w:sz w:val="20"/>
      <w:szCs w:val="20"/>
      <w:lang w:val="en-US"/>
    </w:rPr>
  </w:style>
  <w:style w:type="character" w:customStyle="1" w:styleId="CommentTextChar">
    <w:name w:val="Comment Text Char"/>
    <w:basedOn w:val="DefaultParagraphFont"/>
    <w:link w:val="CommentText"/>
    <w:uiPriority w:val="99"/>
    <w:rsid w:val="009279CE"/>
    <w:rPr>
      <w:rFonts w:ascii="Times New Roman" w:hAnsi="Times New Roman"/>
      <w:sz w:val="20"/>
      <w:szCs w:val="20"/>
      <w:lang w:val="en-US"/>
    </w:rPr>
  </w:style>
  <w:style w:type="paragraph" w:styleId="EndnoteText">
    <w:name w:val="endnote text"/>
    <w:basedOn w:val="Normal"/>
    <w:link w:val="EndnoteTextChar"/>
    <w:uiPriority w:val="99"/>
    <w:unhideWhenUsed/>
    <w:rsid w:val="00B37F2D"/>
    <w:rPr>
      <w:sz w:val="20"/>
      <w:szCs w:val="20"/>
      <w:lang w:val="en-US"/>
    </w:rPr>
  </w:style>
  <w:style w:type="character" w:customStyle="1" w:styleId="EndnoteTextChar">
    <w:name w:val="Endnote Text Char"/>
    <w:basedOn w:val="DefaultParagraphFont"/>
    <w:link w:val="EndnoteText"/>
    <w:uiPriority w:val="99"/>
    <w:rsid w:val="00B37F2D"/>
    <w:rPr>
      <w:rFonts w:ascii="Times New Roman" w:hAnsi="Times New Roman"/>
      <w:sz w:val="20"/>
      <w:szCs w:val="20"/>
      <w:lang w:val="en-US"/>
    </w:rPr>
  </w:style>
  <w:style w:type="character" w:styleId="EndnoteReference">
    <w:name w:val="endnote reference"/>
    <w:basedOn w:val="DefaultParagraphFont"/>
    <w:uiPriority w:val="99"/>
    <w:semiHidden/>
    <w:unhideWhenUsed/>
    <w:rsid w:val="00B37F2D"/>
    <w:rPr>
      <w:vertAlign w:val="superscript"/>
    </w:rPr>
  </w:style>
  <w:style w:type="paragraph" w:customStyle="1" w:styleId="Default">
    <w:name w:val="Default"/>
    <w:rsid w:val="00275EAF"/>
    <w:pPr>
      <w:autoSpaceDE w:val="0"/>
      <w:autoSpaceDN w:val="0"/>
      <w:adjustRightInd w:val="0"/>
      <w:spacing w:after="0" w:line="240" w:lineRule="auto"/>
    </w:pPr>
    <w:rPr>
      <w:rFonts w:ascii="FONNDS+TimesNewRomanPSMT" w:hAnsi="FONNDS+TimesNewRomanPSMT" w:cs="FONNDS+TimesNewRomanPSMT"/>
      <w:color w:val="000000"/>
      <w:sz w:val="24"/>
      <w:szCs w:val="24"/>
    </w:rPr>
  </w:style>
  <w:style w:type="paragraph" w:styleId="CommentSubject">
    <w:name w:val="annotation subject"/>
    <w:basedOn w:val="CommentText"/>
    <w:next w:val="CommentText"/>
    <w:link w:val="CommentSubjectChar"/>
    <w:uiPriority w:val="99"/>
    <w:semiHidden/>
    <w:unhideWhenUsed/>
    <w:rsid w:val="00983B7C"/>
    <w:rPr>
      <w:b/>
      <w:bCs/>
      <w:lang w:val="en-GB"/>
    </w:rPr>
  </w:style>
  <w:style w:type="character" w:customStyle="1" w:styleId="CommentSubjectChar">
    <w:name w:val="Comment Subject Char"/>
    <w:basedOn w:val="CommentTextChar"/>
    <w:link w:val="CommentSubject"/>
    <w:uiPriority w:val="99"/>
    <w:semiHidden/>
    <w:rsid w:val="00983B7C"/>
    <w:rPr>
      <w:rFonts w:ascii="Times New Roman" w:hAnsi="Times New Roman"/>
      <w:b/>
      <w:bCs/>
      <w:sz w:val="20"/>
      <w:szCs w:val="20"/>
      <w:lang w:val="en-US"/>
    </w:rPr>
  </w:style>
  <w:style w:type="paragraph" w:styleId="FootnoteText">
    <w:name w:val="footnote text"/>
    <w:aliases w:val="Footnote Text Char Char,Footnote Text Char1,Footnote Text Char1 Char Char,Footnote Text Char Char Char Char1 Char Char,Footnote Text Char Char Char Char Char1 Char Char,5_G,single space, Char,ft, Car,Footnote Text Char Char Char Char Char"/>
    <w:basedOn w:val="Normal"/>
    <w:link w:val="FootnoteTextChar"/>
    <w:uiPriority w:val="99"/>
    <w:unhideWhenUsed/>
    <w:rsid w:val="00D10AE1"/>
    <w:pPr>
      <w:jc w:val="both"/>
    </w:pPr>
    <w:rPr>
      <w:rFonts w:asciiTheme="minorHAnsi" w:hAnsiTheme="minorHAnsi"/>
      <w:sz w:val="20"/>
      <w:szCs w:val="20"/>
    </w:rPr>
  </w:style>
  <w:style w:type="character" w:customStyle="1" w:styleId="FootnoteTextChar">
    <w:name w:val="Footnote Text Char"/>
    <w:aliases w:val="Footnote Text Char Char Char,Footnote Text Char1 Char,Footnote Text Char1 Char Char Char,Footnote Text Char Char Char Char1 Char Char Char,Footnote Text Char Char Char Char Char1 Char Char Char,5_G Char,single space Char, Char Char"/>
    <w:basedOn w:val="DefaultParagraphFont"/>
    <w:link w:val="FootnoteText"/>
    <w:uiPriority w:val="99"/>
    <w:rsid w:val="00D10AE1"/>
    <w:rPr>
      <w:sz w:val="20"/>
      <w:szCs w:val="20"/>
    </w:rPr>
  </w:style>
  <w:style w:type="character" w:styleId="FootnoteReference">
    <w:name w:val="footnote reference"/>
    <w:aliases w:val="4_G,Footnote,Footnotes refss,Footnote Ref,16 Point,Superscript 6 Point,Appel note de bas de p.,ftref,Ref,de nota al pie,callout"/>
    <w:basedOn w:val="DefaultParagraphFont"/>
    <w:uiPriority w:val="99"/>
    <w:unhideWhenUsed/>
    <w:rsid w:val="00D10AE1"/>
    <w:rPr>
      <w:vertAlign w:val="superscript"/>
    </w:rPr>
  </w:style>
  <w:style w:type="paragraph" w:styleId="ListParagraph">
    <w:name w:val="List Paragraph"/>
    <w:basedOn w:val="Normal"/>
    <w:uiPriority w:val="1"/>
    <w:qFormat/>
    <w:rsid w:val="00146FE2"/>
    <w:pPr>
      <w:widowControl w:val="0"/>
    </w:pPr>
    <w:rPr>
      <w:rFonts w:asciiTheme="minorHAnsi" w:eastAsiaTheme="minorHAnsi" w:hAnsiTheme="minorHAnsi"/>
      <w:sz w:val="22"/>
      <w:lang w:val="en-US" w:eastAsia="en-US"/>
    </w:rPr>
  </w:style>
  <w:style w:type="character" w:styleId="FollowedHyperlink">
    <w:name w:val="FollowedHyperlink"/>
    <w:basedOn w:val="DefaultParagraphFont"/>
    <w:uiPriority w:val="99"/>
    <w:semiHidden/>
    <w:unhideWhenUsed/>
    <w:rsid w:val="005E3561"/>
    <w:rPr>
      <w:color w:val="954F72" w:themeColor="followedHyperlink"/>
      <w:u w:val="single"/>
    </w:rPr>
  </w:style>
  <w:style w:type="character" w:customStyle="1" w:styleId="Heading1Char">
    <w:name w:val="Heading 1 Char"/>
    <w:basedOn w:val="DefaultParagraphFont"/>
    <w:link w:val="Heading1"/>
    <w:uiPriority w:val="9"/>
    <w:rsid w:val="00685651"/>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A56173"/>
    <w:rPr>
      <w:i/>
      <w:iCs/>
    </w:rPr>
  </w:style>
  <w:style w:type="character" w:customStyle="1" w:styleId="Heading2Char">
    <w:name w:val="Heading 2 Char"/>
    <w:basedOn w:val="DefaultParagraphFont"/>
    <w:link w:val="Heading2"/>
    <w:uiPriority w:val="9"/>
    <w:semiHidden/>
    <w:rsid w:val="006C3076"/>
    <w:rPr>
      <w:rFonts w:asciiTheme="majorHAnsi" w:eastAsiaTheme="majorEastAsia" w:hAnsiTheme="majorHAnsi" w:cstheme="majorBidi"/>
      <w:color w:val="2F5496" w:themeColor="accent1" w:themeShade="BF"/>
      <w:sz w:val="26"/>
      <w:szCs w:val="26"/>
    </w:rPr>
  </w:style>
  <w:style w:type="character" w:customStyle="1" w:styleId="e24kjd">
    <w:name w:val="e24kjd"/>
    <w:basedOn w:val="DefaultParagraphFont"/>
    <w:rsid w:val="00327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5899">
      <w:bodyDiv w:val="1"/>
      <w:marLeft w:val="0"/>
      <w:marRight w:val="0"/>
      <w:marTop w:val="0"/>
      <w:marBottom w:val="0"/>
      <w:divBdr>
        <w:top w:val="none" w:sz="0" w:space="0" w:color="auto"/>
        <w:left w:val="none" w:sz="0" w:space="0" w:color="auto"/>
        <w:bottom w:val="none" w:sz="0" w:space="0" w:color="auto"/>
        <w:right w:val="none" w:sz="0" w:space="0" w:color="auto"/>
      </w:divBdr>
      <w:divsChild>
        <w:div w:id="91750995">
          <w:marLeft w:val="0"/>
          <w:marRight w:val="0"/>
          <w:marTop w:val="0"/>
          <w:marBottom w:val="0"/>
          <w:divBdr>
            <w:top w:val="none" w:sz="0" w:space="0" w:color="auto"/>
            <w:left w:val="none" w:sz="0" w:space="0" w:color="auto"/>
            <w:bottom w:val="none" w:sz="0" w:space="0" w:color="auto"/>
            <w:right w:val="none" w:sz="0" w:space="0" w:color="auto"/>
          </w:divBdr>
        </w:div>
      </w:divsChild>
    </w:div>
    <w:div w:id="432677376">
      <w:bodyDiv w:val="1"/>
      <w:marLeft w:val="0"/>
      <w:marRight w:val="0"/>
      <w:marTop w:val="0"/>
      <w:marBottom w:val="0"/>
      <w:divBdr>
        <w:top w:val="none" w:sz="0" w:space="0" w:color="auto"/>
        <w:left w:val="none" w:sz="0" w:space="0" w:color="auto"/>
        <w:bottom w:val="none" w:sz="0" w:space="0" w:color="auto"/>
        <w:right w:val="none" w:sz="0" w:space="0" w:color="auto"/>
      </w:divBdr>
      <w:divsChild>
        <w:div w:id="117337643">
          <w:marLeft w:val="0"/>
          <w:marRight w:val="0"/>
          <w:marTop w:val="0"/>
          <w:marBottom w:val="0"/>
          <w:divBdr>
            <w:top w:val="none" w:sz="0" w:space="0" w:color="auto"/>
            <w:left w:val="none" w:sz="0" w:space="0" w:color="auto"/>
            <w:bottom w:val="none" w:sz="0" w:space="0" w:color="auto"/>
            <w:right w:val="none" w:sz="0" w:space="0" w:color="auto"/>
          </w:divBdr>
        </w:div>
      </w:divsChild>
    </w:div>
    <w:div w:id="1224873783">
      <w:bodyDiv w:val="1"/>
      <w:marLeft w:val="0"/>
      <w:marRight w:val="0"/>
      <w:marTop w:val="0"/>
      <w:marBottom w:val="0"/>
      <w:divBdr>
        <w:top w:val="none" w:sz="0" w:space="0" w:color="auto"/>
        <w:left w:val="none" w:sz="0" w:space="0" w:color="auto"/>
        <w:bottom w:val="none" w:sz="0" w:space="0" w:color="auto"/>
        <w:right w:val="none" w:sz="0" w:space="0" w:color="auto"/>
      </w:divBdr>
    </w:div>
    <w:div w:id="150084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inclusivedevelopment.net"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sfreview@aiib.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re-course.org/wp-content/uploads/2019/12/AIIB-Climate-Loopholes-Dec-19-FINAL-1.pdf" TargetMode="External"/><Relationship Id="rId3" Type="http://schemas.openxmlformats.org/officeDocument/2006/relationships/hyperlink" Target="https://www.inclusivedevelopment.net/wp-content/uploads/2019/01/Financing-development-in-Myanmar-FINAL.pdf" TargetMode="External"/><Relationship Id="rId7" Type="http://schemas.openxmlformats.org/officeDocument/2006/relationships/hyperlink" Target="https://corpgov.law.harvard.edu/2020/01/13/into-the-mainstream-esg-at-the-tipping-point/" TargetMode="External"/><Relationship Id="rId2" Type="http://schemas.openxmlformats.org/officeDocument/2006/relationships/hyperlink" Target="https://www.devex.com/news/opinion-can-the-world-bank-clean-up-its-fossil-fuel-problem-95254" TargetMode="External"/><Relationship Id="rId1" Type="http://schemas.openxmlformats.org/officeDocument/2006/relationships/hyperlink" Target="https://www.researchgate.net/publication/328980276_Bhola_Integrated_Power_Plant_Bhola_IPP_and_its_Impact_on_Local_Communities_Voices_from_the_Ground_A_Civil_Society_Study_Report" TargetMode="External"/><Relationship Id="rId6" Type="http://schemas.openxmlformats.org/officeDocument/2006/relationships/hyperlink" Target="https://www.aiib.org/en/projects/approved/2018/_download/regional/Asia-ESG-Enhanced-Credit-Managed-Portfolio.pdf" TargetMode="External"/><Relationship Id="rId5" Type="http://schemas.openxmlformats.org/officeDocument/2006/relationships/hyperlink" Target="https://www.aiib.org/en/projects/approved/2019/_download/infrastructure-private-capital-mobilization-platform.pdf" TargetMode="External"/><Relationship Id="rId10" Type="http://schemas.openxmlformats.org/officeDocument/2006/relationships/hyperlink" Target="https://www.pwescr.org/AIIB%20Roads%20to%20Inequality,%20Report%20from%20Gujarat.pdf" TargetMode="External"/><Relationship Id="rId4" Type="http://schemas.openxmlformats.org/officeDocument/2006/relationships/hyperlink" Target="https://www.inclusivedevelopment.net/wp-content/uploads/2018/09/Moving-beyond-rhetoric_FINAL.pdf" TargetMode="External"/><Relationship Id="rId9" Type="http://schemas.openxmlformats.org/officeDocument/2006/relationships/hyperlink" Target="https://bic-europe.org/wp-content/uploads/2019/12/Do-no-harm-Recommendationsfor-the-review-of-the-AIIBs-ES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E2716-5DFC-EF46-BBDE-28C9E3BB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3839</Words>
  <Characters>21888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Grimsditch</dc:creator>
  <cp:keywords/>
  <dc:description/>
  <cp:lastModifiedBy>petra@bic-europe.org</cp:lastModifiedBy>
  <cp:revision>2</cp:revision>
  <dcterms:created xsi:type="dcterms:W3CDTF">2020-02-25T17:04:00Z</dcterms:created>
  <dcterms:modified xsi:type="dcterms:W3CDTF">2020-02-25T17:04:00Z</dcterms:modified>
</cp:coreProperties>
</file>