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59BB6" w14:textId="77777777" w:rsidR="00014678" w:rsidRDefault="004E1480" w:rsidP="007D569B">
      <w:pPr>
        <w:spacing w:line="276" w:lineRule="auto"/>
        <w:jc w:val="center"/>
        <w:rPr>
          <w:rFonts w:cstheme="minorHAnsi"/>
          <w:b/>
          <w:bCs/>
          <w:color w:val="4472C4" w:themeColor="accent1"/>
        </w:rPr>
      </w:pPr>
      <w:r w:rsidRPr="0077780A">
        <w:rPr>
          <w:rFonts w:cstheme="minorHAnsi"/>
          <w:b/>
          <w:bCs/>
          <w:color w:val="4472C4" w:themeColor="accent1"/>
        </w:rPr>
        <w:t xml:space="preserve">‘Responsible Exit?’ </w:t>
      </w:r>
    </w:p>
    <w:p w14:paraId="16D687F5" w14:textId="43D199AD" w:rsidR="009E3DDC" w:rsidRPr="0077780A" w:rsidRDefault="004E1480" w:rsidP="007D569B">
      <w:pPr>
        <w:spacing w:line="276" w:lineRule="auto"/>
        <w:jc w:val="center"/>
        <w:rPr>
          <w:rFonts w:cstheme="minorHAnsi"/>
          <w:b/>
          <w:bCs/>
          <w:color w:val="4472C4" w:themeColor="accent1"/>
        </w:rPr>
      </w:pPr>
      <w:r w:rsidRPr="0077780A">
        <w:rPr>
          <w:rFonts w:cstheme="minorHAnsi"/>
          <w:b/>
          <w:bCs/>
          <w:color w:val="4472C4" w:themeColor="accent1"/>
        </w:rPr>
        <w:t xml:space="preserve">Why the IFC cannot just walk away </w:t>
      </w:r>
      <w:r w:rsidR="0077780A">
        <w:rPr>
          <w:rFonts w:cstheme="minorHAnsi"/>
          <w:b/>
          <w:bCs/>
          <w:color w:val="4472C4" w:themeColor="accent1"/>
        </w:rPr>
        <w:t>from</w:t>
      </w:r>
      <w:r w:rsidRPr="0077780A">
        <w:rPr>
          <w:rFonts w:cstheme="minorHAnsi"/>
          <w:b/>
          <w:bCs/>
          <w:color w:val="4472C4" w:themeColor="accent1"/>
        </w:rPr>
        <w:t xml:space="preserve"> harms </w:t>
      </w:r>
      <w:r w:rsidR="0077780A">
        <w:rPr>
          <w:rFonts w:cstheme="minorHAnsi"/>
          <w:b/>
          <w:bCs/>
          <w:color w:val="4472C4" w:themeColor="accent1"/>
        </w:rPr>
        <w:t xml:space="preserve">its </w:t>
      </w:r>
      <w:r w:rsidR="00017C10">
        <w:rPr>
          <w:rFonts w:cstheme="minorHAnsi"/>
          <w:b/>
          <w:bCs/>
          <w:color w:val="4472C4" w:themeColor="accent1"/>
        </w:rPr>
        <w:t>investment</w:t>
      </w:r>
      <w:r w:rsidR="0077780A">
        <w:rPr>
          <w:rFonts w:cstheme="minorHAnsi"/>
          <w:b/>
          <w:bCs/>
          <w:color w:val="4472C4" w:themeColor="accent1"/>
        </w:rPr>
        <w:t xml:space="preserve"> caused in Guatemala</w:t>
      </w:r>
    </w:p>
    <w:p w14:paraId="43C93DCE" w14:textId="6B0CE8BF" w:rsidR="004F74C9" w:rsidRPr="007D569B" w:rsidRDefault="004F74C9" w:rsidP="007D569B">
      <w:pPr>
        <w:spacing w:line="276" w:lineRule="auto"/>
        <w:rPr>
          <w:rFonts w:cstheme="minorHAnsi"/>
          <w:b/>
          <w:bCs/>
          <w:sz w:val="22"/>
          <w:szCs w:val="22"/>
        </w:rPr>
      </w:pPr>
    </w:p>
    <w:p w14:paraId="7991F465" w14:textId="104E43BC" w:rsidR="00B1433E" w:rsidRPr="007D569B" w:rsidRDefault="00A27B8F" w:rsidP="007D569B">
      <w:pPr>
        <w:pStyle w:val="Default"/>
        <w:spacing w:line="276" w:lineRule="auto"/>
        <w:rPr>
          <w:rFonts w:asciiTheme="minorHAnsi" w:hAnsiTheme="minorHAnsi" w:cstheme="minorHAnsi"/>
          <w:sz w:val="22"/>
          <w:szCs w:val="22"/>
        </w:rPr>
      </w:pPr>
      <w:r w:rsidRPr="007D569B">
        <w:rPr>
          <w:rFonts w:asciiTheme="minorHAnsi" w:hAnsiTheme="minorHAnsi" w:cstheme="minorHAnsi"/>
          <w:b/>
          <w:bCs/>
          <w:sz w:val="22"/>
          <w:szCs w:val="22"/>
        </w:rPr>
        <w:t xml:space="preserve">10 June 2020: </w:t>
      </w:r>
      <w:r w:rsidR="00B1433E" w:rsidRPr="007D569B">
        <w:rPr>
          <w:rFonts w:asciiTheme="minorHAnsi" w:hAnsiTheme="minorHAnsi" w:cstheme="minorHAnsi"/>
          <w:sz w:val="22"/>
          <w:szCs w:val="22"/>
        </w:rPr>
        <w:t xml:space="preserve">The independent watchdog for the World Bank’s private sector lending arm, </w:t>
      </w:r>
      <w:r w:rsidR="00E666F0">
        <w:rPr>
          <w:rFonts w:asciiTheme="minorHAnsi" w:hAnsiTheme="minorHAnsi" w:cstheme="minorHAnsi"/>
          <w:sz w:val="22"/>
          <w:szCs w:val="22"/>
        </w:rPr>
        <w:t xml:space="preserve">the </w:t>
      </w:r>
      <w:r w:rsidR="00B1433E" w:rsidRPr="007D569B">
        <w:rPr>
          <w:rFonts w:asciiTheme="minorHAnsi" w:hAnsiTheme="minorHAnsi" w:cstheme="minorHAnsi"/>
          <w:sz w:val="22"/>
          <w:szCs w:val="22"/>
        </w:rPr>
        <w:t>I</w:t>
      </w:r>
      <w:r w:rsidR="00EF5629" w:rsidRPr="007D569B">
        <w:rPr>
          <w:rFonts w:asciiTheme="minorHAnsi" w:hAnsiTheme="minorHAnsi" w:cstheme="minorHAnsi"/>
          <w:sz w:val="22"/>
          <w:szCs w:val="22"/>
        </w:rPr>
        <w:t>nternational Finance Corporation (IFC)</w:t>
      </w:r>
      <w:r w:rsidR="00B1433E" w:rsidRPr="007D569B">
        <w:rPr>
          <w:rFonts w:asciiTheme="minorHAnsi" w:hAnsiTheme="minorHAnsi" w:cstheme="minorHAnsi"/>
          <w:sz w:val="22"/>
          <w:szCs w:val="22"/>
        </w:rPr>
        <w:t xml:space="preserve">, today </w:t>
      </w:r>
      <w:hyperlink r:id="rId8" w:history="1">
        <w:r w:rsidR="00B1433E" w:rsidRPr="00B145B1">
          <w:rPr>
            <w:rStyle w:val="Hyperlink"/>
            <w:rFonts w:asciiTheme="minorHAnsi" w:hAnsiTheme="minorHAnsi" w:cstheme="minorHAnsi"/>
            <w:sz w:val="22"/>
            <w:szCs w:val="22"/>
          </w:rPr>
          <w:t>published an investigation</w:t>
        </w:r>
      </w:hyperlink>
      <w:r w:rsidR="00B1433E" w:rsidRPr="007D569B">
        <w:rPr>
          <w:rFonts w:asciiTheme="minorHAnsi" w:hAnsiTheme="minorHAnsi" w:cstheme="minorHAnsi"/>
          <w:sz w:val="22"/>
          <w:szCs w:val="22"/>
        </w:rPr>
        <w:t xml:space="preserve"> into a dam project in Guatemala, cataloguing IFC’s dereliction of its duties and obligations to prevent harm to the local indigenous communities.</w:t>
      </w:r>
    </w:p>
    <w:p w14:paraId="6949DFCB" w14:textId="521B6B0D" w:rsidR="00B1433E" w:rsidRPr="007D569B" w:rsidRDefault="00B1433E" w:rsidP="007D569B">
      <w:pPr>
        <w:spacing w:line="276" w:lineRule="auto"/>
        <w:rPr>
          <w:rFonts w:cstheme="minorHAnsi"/>
          <w:sz w:val="22"/>
          <w:szCs w:val="22"/>
        </w:rPr>
      </w:pPr>
    </w:p>
    <w:p w14:paraId="00E6B8AE" w14:textId="12590CF1" w:rsidR="00B1433E" w:rsidRPr="007D569B" w:rsidRDefault="00B1433E" w:rsidP="007D569B">
      <w:pPr>
        <w:spacing w:line="276" w:lineRule="auto"/>
        <w:rPr>
          <w:rFonts w:cstheme="minorHAnsi"/>
          <w:b/>
          <w:bCs/>
          <w:sz w:val="22"/>
          <w:szCs w:val="22"/>
        </w:rPr>
      </w:pPr>
      <w:r w:rsidRPr="007D569B">
        <w:rPr>
          <w:rFonts w:cstheme="minorHAnsi"/>
          <w:sz w:val="22"/>
          <w:szCs w:val="22"/>
        </w:rPr>
        <w:t>The investigation, by the</w:t>
      </w:r>
      <w:r w:rsidRPr="007D569B">
        <w:rPr>
          <w:rFonts w:cstheme="minorHAnsi"/>
          <w:b/>
          <w:bCs/>
          <w:sz w:val="22"/>
          <w:szCs w:val="22"/>
        </w:rPr>
        <w:t xml:space="preserve"> </w:t>
      </w:r>
      <w:r w:rsidRPr="007D569B">
        <w:rPr>
          <w:rFonts w:cstheme="minorHAnsi"/>
          <w:sz w:val="22"/>
          <w:szCs w:val="22"/>
        </w:rPr>
        <w:t xml:space="preserve">Compliance Advisor Ombudsman (CAO), was prompted by affected communities </w:t>
      </w:r>
      <w:r w:rsidR="006D41D0" w:rsidRPr="007D569B">
        <w:rPr>
          <w:rFonts w:cstheme="minorHAnsi"/>
          <w:sz w:val="22"/>
          <w:szCs w:val="22"/>
        </w:rPr>
        <w:t xml:space="preserve">filing </w:t>
      </w:r>
      <w:hyperlink r:id="rId9" w:history="1">
        <w:r w:rsidR="006D41D0" w:rsidRPr="00B145B1">
          <w:rPr>
            <w:rStyle w:val="Hyperlink"/>
            <w:rFonts w:cstheme="minorHAnsi"/>
            <w:sz w:val="22"/>
            <w:szCs w:val="22"/>
          </w:rPr>
          <w:t xml:space="preserve">a case </w:t>
        </w:r>
        <w:r w:rsidRPr="00B145B1">
          <w:rPr>
            <w:rStyle w:val="Hyperlink"/>
            <w:rFonts w:cstheme="minorHAnsi"/>
            <w:sz w:val="22"/>
            <w:szCs w:val="22"/>
          </w:rPr>
          <w:t>in 2015</w:t>
        </w:r>
      </w:hyperlink>
      <w:r w:rsidRPr="007D569B">
        <w:rPr>
          <w:rFonts w:cstheme="minorHAnsi"/>
          <w:sz w:val="22"/>
          <w:szCs w:val="22"/>
        </w:rPr>
        <w:t>, alleging significant social and human rights impacts</w:t>
      </w:r>
      <w:r w:rsidR="00DA043F" w:rsidRPr="007D569B">
        <w:rPr>
          <w:rFonts w:cstheme="minorHAnsi"/>
          <w:sz w:val="22"/>
          <w:szCs w:val="22"/>
        </w:rPr>
        <w:t>, including project</w:t>
      </w:r>
      <w:r w:rsidR="006D41D0" w:rsidRPr="007D569B">
        <w:rPr>
          <w:rFonts w:cstheme="minorHAnsi"/>
          <w:sz w:val="22"/>
          <w:szCs w:val="22"/>
        </w:rPr>
        <w:t>-</w:t>
      </w:r>
      <w:r w:rsidR="00DA043F" w:rsidRPr="007D569B">
        <w:rPr>
          <w:rFonts w:cstheme="minorHAnsi"/>
          <w:sz w:val="22"/>
          <w:szCs w:val="22"/>
        </w:rPr>
        <w:t>related conflict, resulting in the death</w:t>
      </w:r>
      <w:r w:rsidR="00186F95" w:rsidRPr="007D569B">
        <w:rPr>
          <w:rFonts w:cstheme="minorHAnsi"/>
          <w:sz w:val="22"/>
          <w:szCs w:val="22"/>
        </w:rPr>
        <w:t>, serious injury and imprisonment</w:t>
      </w:r>
      <w:r w:rsidR="00DA043F" w:rsidRPr="007D569B">
        <w:rPr>
          <w:rFonts w:cstheme="minorHAnsi"/>
          <w:sz w:val="22"/>
          <w:szCs w:val="22"/>
        </w:rPr>
        <w:t xml:space="preserve"> of </w:t>
      </w:r>
      <w:r w:rsidR="00186F95" w:rsidRPr="007D569B">
        <w:rPr>
          <w:rFonts w:cstheme="minorHAnsi"/>
          <w:sz w:val="22"/>
          <w:szCs w:val="22"/>
        </w:rPr>
        <w:t>community members</w:t>
      </w:r>
      <w:r w:rsidR="003275C9">
        <w:rPr>
          <w:rFonts w:cstheme="minorHAnsi"/>
          <w:sz w:val="22"/>
          <w:szCs w:val="22"/>
        </w:rPr>
        <w:t xml:space="preserve"> linked to an IFC investment</w:t>
      </w:r>
      <w:r w:rsidR="00DA043F" w:rsidRPr="007D569B">
        <w:rPr>
          <w:rFonts w:cstheme="minorHAnsi"/>
          <w:sz w:val="22"/>
          <w:szCs w:val="22"/>
        </w:rPr>
        <w:t>.</w:t>
      </w:r>
    </w:p>
    <w:p w14:paraId="0A2CF3CF" w14:textId="0F5CE63D" w:rsidR="00B1433E" w:rsidRPr="007D569B" w:rsidRDefault="00B1433E" w:rsidP="007D569B">
      <w:pPr>
        <w:spacing w:line="276" w:lineRule="auto"/>
        <w:rPr>
          <w:rFonts w:cstheme="minorHAnsi"/>
          <w:sz w:val="22"/>
          <w:szCs w:val="22"/>
        </w:rPr>
      </w:pPr>
    </w:p>
    <w:p w14:paraId="23B153D6" w14:textId="3C38D95C" w:rsidR="00DA043F" w:rsidRDefault="00DA043F" w:rsidP="007D569B">
      <w:pPr>
        <w:spacing w:line="276" w:lineRule="auto"/>
        <w:rPr>
          <w:rFonts w:cstheme="minorHAnsi"/>
          <w:b/>
          <w:bCs/>
          <w:i/>
          <w:iCs/>
          <w:sz w:val="22"/>
          <w:szCs w:val="22"/>
        </w:rPr>
      </w:pPr>
      <w:r w:rsidRPr="007D569B">
        <w:rPr>
          <w:rFonts w:cstheme="minorHAnsi"/>
          <w:sz w:val="22"/>
          <w:szCs w:val="22"/>
        </w:rPr>
        <w:t>CAO concludes,</w:t>
      </w:r>
      <w:r w:rsidRPr="007D569B">
        <w:rPr>
          <w:rFonts w:cstheme="minorHAnsi"/>
          <w:b/>
          <w:bCs/>
          <w:sz w:val="22"/>
          <w:szCs w:val="22"/>
        </w:rPr>
        <w:t xml:space="preserve"> “</w:t>
      </w:r>
      <w:r w:rsidRPr="007D569B">
        <w:rPr>
          <w:rFonts w:cstheme="minorHAnsi"/>
          <w:b/>
          <w:bCs/>
          <w:i/>
          <w:iCs/>
          <w:sz w:val="22"/>
          <w:szCs w:val="22"/>
        </w:rPr>
        <w:t>Though aware of project impacts during the period of financing, IFC did not engage with its client to ensure that residual impacts of the project were assessed, reduced, mitigated, or compensated for, as appropriate, including at project closure, as required by the Performance Standards and the Sustainability Policy.”</w:t>
      </w:r>
      <w:r w:rsidRPr="007D569B">
        <w:rPr>
          <w:rStyle w:val="FootnoteReference"/>
          <w:rFonts w:cstheme="minorHAnsi"/>
          <w:b/>
          <w:bCs/>
          <w:i/>
          <w:iCs/>
          <w:sz w:val="22"/>
          <w:szCs w:val="22"/>
        </w:rPr>
        <w:footnoteReference w:id="1"/>
      </w:r>
    </w:p>
    <w:p w14:paraId="6BF76B98" w14:textId="77777777" w:rsidR="00102FC1" w:rsidRPr="007D569B" w:rsidRDefault="00102FC1" w:rsidP="007D569B">
      <w:pPr>
        <w:spacing w:line="276" w:lineRule="auto"/>
        <w:rPr>
          <w:rFonts w:cstheme="minorHAnsi"/>
          <w:sz w:val="22"/>
          <w:szCs w:val="22"/>
        </w:rPr>
      </w:pPr>
    </w:p>
    <w:p w14:paraId="28617A3E" w14:textId="77777777" w:rsidR="00F63B60" w:rsidRPr="007D569B" w:rsidRDefault="00F63B60" w:rsidP="007D569B">
      <w:pPr>
        <w:autoSpaceDE w:val="0"/>
        <w:autoSpaceDN w:val="0"/>
        <w:adjustRightInd w:val="0"/>
        <w:spacing w:line="276" w:lineRule="auto"/>
        <w:rPr>
          <w:rFonts w:cstheme="minorHAnsi"/>
          <w:b/>
          <w:bCs/>
          <w:i/>
          <w:iCs/>
          <w:color w:val="000000"/>
          <w:sz w:val="22"/>
          <w:szCs w:val="22"/>
        </w:rPr>
      </w:pPr>
      <w:r w:rsidRPr="007D569B">
        <w:rPr>
          <w:rFonts w:cstheme="minorHAnsi"/>
          <w:b/>
          <w:bCs/>
          <w:i/>
          <w:iCs/>
          <w:color w:val="000000"/>
          <w:sz w:val="22"/>
          <w:szCs w:val="22"/>
        </w:rPr>
        <w:t>“In these circumstances, contrary to the intent of IFC’s Sustainability Policy, adverse impacts have been left to fall on the community.”</w:t>
      </w:r>
      <w:r w:rsidRPr="007D569B">
        <w:rPr>
          <w:rStyle w:val="FootnoteReference"/>
          <w:rFonts w:cstheme="minorHAnsi"/>
          <w:b/>
          <w:bCs/>
          <w:i/>
          <w:iCs/>
          <w:color w:val="000000"/>
          <w:sz w:val="22"/>
          <w:szCs w:val="22"/>
        </w:rPr>
        <w:footnoteReference w:id="2"/>
      </w:r>
    </w:p>
    <w:p w14:paraId="187D8E16" w14:textId="77777777" w:rsidR="00E51867" w:rsidRPr="007D569B" w:rsidRDefault="00E51867" w:rsidP="007D569B">
      <w:pPr>
        <w:spacing w:line="276" w:lineRule="auto"/>
        <w:rPr>
          <w:rFonts w:cstheme="minorHAnsi"/>
          <w:color w:val="000000"/>
          <w:sz w:val="22"/>
          <w:szCs w:val="22"/>
        </w:rPr>
      </w:pPr>
    </w:p>
    <w:p w14:paraId="2F46326D" w14:textId="2438B2EC" w:rsidR="00A27B8F" w:rsidRPr="007D569B" w:rsidRDefault="00A27B8F" w:rsidP="007D569B">
      <w:pPr>
        <w:spacing w:line="276" w:lineRule="auto"/>
        <w:rPr>
          <w:rFonts w:cstheme="minorHAnsi"/>
          <w:sz w:val="22"/>
          <w:szCs w:val="22"/>
        </w:rPr>
      </w:pPr>
      <w:r w:rsidRPr="007D569B">
        <w:rPr>
          <w:rFonts w:cstheme="minorHAnsi"/>
          <w:sz w:val="22"/>
          <w:szCs w:val="22"/>
        </w:rPr>
        <w:t>IFC has protections in place to ensure its investments “do no harm” and ensure “that the costs of economic development do not fall disproportionately on those who are poor and vulnerable</w:t>
      </w:r>
      <w:r w:rsidR="00B145B1">
        <w:rPr>
          <w:rFonts w:cstheme="minorHAnsi"/>
          <w:sz w:val="22"/>
          <w:szCs w:val="22"/>
        </w:rPr>
        <w:t>.</w:t>
      </w:r>
      <w:r w:rsidRPr="007D569B">
        <w:rPr>
          <w:rFonts w:cstheme="minorHAnsi"/>
          <w:sz w:val="22"/>
          <w:szCs w:val="22"/>
        </w:rPr>
        <w:t>”</w:t>
      </w:r>
      <w:r w:rsidRPr="007D569B">
        <w:rPr>
          <w:rStyle w:val="FootnoteReference"/>
          <w:rFonts w:cstheme="minorHAnsi"/>
          <w:sz w:val="22"/>
          <w:szCs w:val="22"/>
        </w:rPr>
        <w:footnoteReference w:id="3"/>
      </w:r>
      <w:r w:rsidR="0068589E">
        <w:rPr>
          <w:rFonts w:cstheme="minorHAnsi"/>
          <w:sz w:val="22"/>
          <w:szCs w:val="22"/>
        </w:rPr>
        <w:t xml:space="preserve"> However, IFC has struggled to ensure its financial intermediary (FI) clients, who now make up around 62% of IFC’s total lending portfolio (as opposed to direct project finance) apply its environmental and social standards.</w:t>
      </w:r>
      <w:r w:rsidR="0068589E">
        <w:rPr>
          <w:rStyle w:val="FootnoteReference"/>
          <w:rFonts w:cstheme="minorHAnsi"/>
          <w:sz w:val="22"/>
          <w:szCs w:val="22"/>
        </w:rPr>
        <w:footnoteReference w:id="4"/>
      </w:r>
    </w:p>
    <w:p w14:paraId="792A565B" w14:textId="77777777" w:rsidR="00534DEF" w:rsidRPr="007D569B" w:rsidRDefault="00534DEF" w:rsidP="007D569B">
      <w:pPr>
        <w:spacing w:line="276" w:lineRule="auto"/>
        <w:rPr>
          <w:rFonts w:cstheme="minorHAnsi"/>
          <w:color w:val="000000"/>
          <w:sz w:val="22"/>
          <w:szCs w:val="22"/>
        </w:rPr>
      </w:pPr>
    </w:p>
    <w:p w14:paraId="21842880" w14:textId="2589308E" w:rsidR="00CF0C38" w:rsidRPr="007D569B" w:rsidRDefault="00DA043F" w:rsidP="007D569B">
      <w:pPr>
        <w:spacing w:line="276" w:lineRule="auto"/>
        <w:rPr>
          <w:rFonts w:cstheme="minorHAnsi"/>
          <w:sz w:val="22"/>
          <w:szCs w:val="22"/>
        </w:rPr>
      </w:pPr>
      <w:r w:rsidRPr="007D569B">
        <w:rPr>
          <w:rFonts w:cstheme="minorHAnsi"/>
          <w:color w:val="000000"/>
          <w:sz w:val="22"/>
          <w:szCs w:val="22"/>
        </w:rPr>
        <w:t xml:space="preserve">IFC </w:t>
      </w:r>
      <w:r w:rsidR="00BE5F86" w:rsidRPr="007D569B">
        <w:rPr>
          <w:rFonts w:cstheme="minorHAnsi"/>
          <w:color w:val="000000"/>
          <w:sz w:val="22"/>
          <w:szCs w:val="22"/>
        </w:rPr>
        <w:t xml:space="preserve">invested in the </w:t>
      </w:r>
      <w:r w:rsidR="002412B5" w:rsidRPr="007D569B">
        <w:rPr>
          <w:rFonts w:cstheme="minorHAnsi"/>
          <w:color w:val="000000"/>
          <w:sz w:val="22"/>
          <w:szCs w:val="22"/>
        </w:rPr>
        <w:t xml:space="preserve">USA-based </w:t>
      </w:r>
      <w:proofErr w:type="spellStart"/>
      <w:r w:rsidR="00BE5F86" w:rsidRPr="007D569B">
        <w:rPr>
          <w:rFonts w:cstheme="minorHAnsi"/>
          <w:sz w:val="22"/>
          <w:szCs w:val="22"/>
        </w:rPr>
        <w:t>Corporación</w:t>
      </w:r>
      <w:proofErr w:type="spellEnd"/>
      <w:r w:rsidR="00BE5F86" w:rsidRPr="007D569B">
        <w:rPr>
          <w:rFonts w:cstheme="minorHAnsi"/>
          <w:sz w:val="22"/>
          <w:szCs w:val="22"/>
        </w:rPr>
        <w:t xml:space="preserve"> </w:t>
      </w:r>
      <w:proofErr w:type="spellStart"/>
      <w:r w:rsidR="00BE5F86" w:rsidRPr="007D569B">
        <w:rPr>
          <w:rFonts w:cstheme="minorHAnsi"/>
          <w:sz w:val="22"/>
          <w:szCs w:val="22"/>
        </w:rPr>
        <w:t>Interamericana</w:t>
      </w:r>
      <w:proofErr w:type="spellEnd"/>
      <w:r w:rsidR="00BE5F86" w:rsidRPr="007D569B">
        <w:rPr>
          <w:rFonts w:cstheme="minorHAnsi"/>
          <w:sz w:val="22"/>
          <w:szCs w:val="22"/>
        </w:rPr>
        <w:t xml:space="preserve"> para el </w:t>
      </w:r>
      <w:proofErr w:type="spellStart"/>
      <w:r w:rsidR="00BE5F86" w:rsidRPr="007D569B">
        <w:rPr>
          <w:rFonts w:cstheme="minorHAnsi"/>
          <w:sz w:val="22"/>
          <w:szCs w:val="22"/>
        </w:rPr>
        <w:t>Financiamiento</w:t>
      </w:r>
      <w:proofErr w:type="spellEnd"/>
      <w:r w:rsidR="00BE5F86" w:rsidRPr="007D569B">
        <w:rPr>
          <w:rFonts w:cstheme="minorHAnsi"/>
          <w:sz w:val="22"/>
          <w:szCs w:val="22"/>
        </w:rPr>
        <w:t xml:space="preserve"> de </w:t>
      </w:r>
      <w:proofErr w:type="spellStart"/>
      <w:r w:rsidR="00BE5F86" w:rsidRPr="007D569B">
        <w:rPr>
          <w:rFonts w:cstheme="minorHAnsi"/>
          <w:sz w:val="22"/>
          <w:szCs w:val="22"/>
        </w:rPr>
        <w:t>Infraestructura</w:t>
      </w:r>
      <w:proofErr w:type="spellEnd"/>
      <w:r w:rsidR="00BE5F86" w:rsidRPr="007D569B">
        <w:rPr>
          <w:rFonts w:cstheme="minorHAnsi"/>
          <w:sz w:val="22"/>
          <w:szCs w:val="22"/>
        </w:rPr>
        <w:t xml:space="preserve"> (CIFI) in 2008</w:t>
      </w:r>
      <w:r w:rsidR="00BE5F86" w:rsidRPr="007D569B">
        <w:rPr>
          <w:rStyle w:val="FootnoteReference"/>
          <w:rFonts w:cstheme="minorHAnsi"/>
          <w:sz w:val="22"/>
          <w:szCs w:val="22"/>
        </w:rPr>
        <w:footnoteReference w:id="5"/>
      </w:r>
      <w:r w:rsidR="00BE5F86" w:rsidRPr="007D569B">
        <w:rPr>
          <w:rFonts w:cstheme="minorHAnsi"/>
          <w:sz w:val="22"/>
          <w:szCs w:val="22"/>
        </w:rPr>
        <w:t xml:space="preserve">, which in turn funded the </w:t>
      </w:r>
      <w:proofErr w:type="spellStart"/>
      <w:r w:rsidR="00BE5F86" w:rsidRPr="007D569B">
        <w:rPr>
          <w:rFonts w:cstheme="minorHAnsi"/>
          <w:sz w:val="22"/>
          <w:szCs w:val="22"/>
        </w:rPr>
        <w:t>Canbalam</w:t>
      </w:r>
      <w:proofErr w:type="spellEnd"/>
      <w:r w:rsidR="002927F3" w:rsidRPr="007D569B">
        <w:rPr>
          <w:rFonts w:cstheme="minorHAnsi"/>
          <w:sz w:val="22"/>
          <w:szCs w:val="22"/>
        </w:rPr>
        <w:t xml:space="preserve"> </w:t>
      </w:r>
      <w:r w:rsidR="00BE5F86" w:rsidRPr="007D569B">
        <w:rPr>
          <w:rFonts w:cstheme="minorHAnsi"/>
          <w:sz w:val="22"/>
          <w:szCs w:val="22"/>
        </w:rPr>
        <w:t>dam in Huehuetenango, Guatemala</w:t>
      </w:r>
      <w:r w:rsidR="003275C9">
        <w:rPr>
          <w:rFonts w:cstheme="minorHAnsi"/>
          <w:sz w:val="22"/>
          <w:szCs w:val="22"/>
        </w:rPr>
        <w:t>,</w:t>
      </w:r>
      <w:r w:rsidR="00BE5F86" w:rsidRPr="007D569B">
        <w:rPr>
          <w:rFonts w:cstheme="minorHAnsi"/>
          <w:sz w:val="22"/>
          <w:szCs w:val="22"/>
        </w:rPr>
        <w:t xml:space="preserve"> in 2011.</w:t>
      </w:r>
      <w:r w:rsidR="00340577" w:rsidRPr="007D569B">
        <w:rPr>
          <w:rStyle w:val="FootnoteReference"/>
          <w:rFonts w:cstheme="minorHAnsi"/>
          <w:sz w:val="22"/>
          <w:szCs w:val="22"/>
        </w:rPr>
        <w:footnoteReference w:id="6"/>
      </w:r>
      <w:r w:rsidR="00315587" w:rsidRPr="007D569B">
        <w:rPr>
          <w:rFonts w:cstheme="minorHAnsi"/>
          <w:sz w:val="22"/>
          <w:szCs w:val="22"/>
        </w:rPr>
        <w:t xml:space="preserve"> </w:t>
      </w:r>
      <w:r w:rsidR="00771AFB" w:rsidRPr="007D569B">
        <w:rPr>
          <w:rFonts w:cstheme="minorHAnsi"/>
          <w:sz w:val="22"/>
          <w:szCs w:val="22"/>
        </w:rPr>
        <w:t>The</w:t>
      </w:r>
      <w:r w:rsidR="00315587" w:rsidRPr="007D569B">
        <w:rPr>
          <w:rFonts w:cstheme="minorHAnsi"/>
          <w:sz w:val="22"/>
          <w:szCs w:val="22"/>
        </w:rPr>
        <w:t xml:space="preserve"> local</w:t>
      </w:r>
      <w:r w:rsidR="00771AFB" w:rsidRPr="007D569B">
        <w:rPr>
          <w:rFonts w:cstheme="minorHAnsi"/>
          <w:sz w:val="22"/>
          <w:szCs w:val="22"/>
        </w:rPr>
        <w:t xml:space="preserve"> population</w:t>
      </w:r>
      <w:r w:rsidR="002927F3" w:rsidRPr="007D569B">
        <w:rPr>
          <w:rFonts w:cstheme="minorHAnsi"/>
          <w:sz w:val="22"/>
          <w:szCs w:val="22"/>
        </w:rPr>
        <w:t xml:space="preserve"> there</w:t>
      </w:r>
      <w:r w:rsidR="00771AFB" w:rsidRPr="007D569B">
        <w:rPr>
          <w:rFonts w:cstheme="minorHAnsi"/>
          <w:sz w:val="22"/>
          <w:szCs w:val="22"/>
        </w:rPr>
        <w:t xml:space="preserve"> is predominately indigenous, many </w:t>
      </w:r>
      <w:r w:rsidR="00A27B8F" w:rsidRPr="007D569B">
        <w:rPr>
          <w:rFonts w:cstheme="minorHAnsi"/>
          <w:sz w:val="22"/>
          <w:szCs w:val="22"/>
        </w:rPr>
        <w:t>living</w:t>
      </w:r>
      <w:r w:rsidR="00771AFB" w:rsidRPr="007D569B">
        <w:rPr>
          <w:rFonts w:cstheme="minorHAnsi"/>
          <w:sz w:val="22"/>
          <w:szCs w:val="22"/>
        </w:rPr>
        <w:t xml:space="preserve"> in poverty or extreme poverty. Huehuetenango experienced significant violence during the Guatemalan civil war </w:t>
      </w:r>
      <w:r w:rsidR="00315587" w:rsidRPr="007D569B">
        <w:rPr>
          <w:rFonts w:cstheme="minorHAnsi"/>
          <w:sz w:val="22"/>
          <w:szCs w:val="22"/>
        </w:rPr>
        <w:t xml:space="preserve">from </w:t>
      </w:r>
      <w:r w:rsidR="00771AFB" w:rsidRPr="007D569B">
        <w:rPr>
          <w:rFonts w:cstheme="minorHAnsi"/>
          <w:sz w:val="22"/>
          <w:szCs w:val="22"/>
        </w:rPr>
        <w:t>1960</w:t>
      </w:r>
      <w:r w:rsidR="00315587" w:rsidRPr="007D569B">
        <w:rPr>
          <w:rFonts w:cstheme="minorHAnsi"/>
          <w:sz w:val="22"/>
          <w:szCs w:val="22"/>
        </w:rPr>
        <w:t xml:space="preserve"> to</w:t>
      </w:r>
      <w:r w:rsidR="00B109C9">
        <w:rPr>
          <w:rFonts w:cstheme="minorHAnsi"/>
          <w:sz w:val="22"/>
          <w:szCs w:val="22"/>
        </w:rPr>
        <w:t xml:space="preserve"> </w:t>
      </w:r>
      <w:r w:rsidR="00771AFB" w:rsidRPr="007D569B">
        <w:rPr>
          <w:rFonts w:cstheme="minorHAnsi"/>
          <w:sz w:val="22"/>
          <w:szCs w:val="22"/>
        </w:rPr>
        <w:t>1996</w:t>
      </w:r>
      <w:r w:rsidR="00315587" w:rsidRPr="007D569B">
        <w:rPr>
          <w:rFonts w:cstheme="minorHAnsi"/>
          <w:sz w:val="22"/>
          <w:szCs w:val="22"/>
        </w:rPr>
        <w:t xml:space="preserve">, </w:t>
      </w:r>
      <w:r w:rsidR="007554F6" w:rsidRPr="007D569B">
        <w:rPr>
          <w:rFonts w:cstheme="minorHAnsi"/>
          <w:sz w:val="22"/>
          <w:szCs w:val="22"/>
        </w:rPr>
        <w:t xml:space="preserve">with </w:t>
      </w:r>
      <w:r w:rsidR="00315587" w:rsidRPr="007D569B">
        <w:rPr>
          <w:rFonts w:cstheme="minorHAnsi"/>
          <w:sz w:val="22"/>
          <w:szCs w:val="22"/>
        </w:rPr>
        <w:t>m</w:t>
      </w:r>
      <w:r w:rsidR="00771AFB" w:rsidRPr="007D569B">
        <w:rPr>
          <w:rFonts w:cstheme="minorHAnsi"/>
          <w:sz w:val="22"/>
          <w:szCs w:val="22"/>
        </w:rPr>
        <w:t>ore than 10,000 people killed</w:t>
      </w:r>
      <w:r w:rsidR="00315587" w:rsidRPr="007D569B">
        <w:rPr>
          <w:rFonts w:cstheme="minorHAnsi"/>
          <w:sz w:val="22"/>
          <w:szCs w:val="22"/>
        </w:rPr>
        <w:t>,</w:t>
      </w:r>
      <w:r w:rsidR="00771AFB" w:rsidRPr="007D569B">
        <w:rPr>
          <w:rFonts w:cstheme="minorHAnsi"/>
          <w:sz w:val="22"/>
          <w:szCs w:val="22"/>
        </w:rPr>
        <w:t xml:space="preserve"> </w:t>
      </w:r>
      <w:r w:rsidR="00315587" w:rsidRPr="007D569B">
        <w:rPr>
          <w:rFonts w:cstheme="minorHAnsi"/>
          <w:sz w:val="22"/>
          <w:szCs w:val="22"/>
        </w:rPr>
        <w:t>a</w:t>
      </w:r>
      <w:r w:rsidR="00771AFB" w:rsidRPr="007D569B">
        <w:rPr>
          <w:rFonts w:cstheme="minorHAnsi"/>
          <w:sz w:val="22"/>
          <w:szCs w:val="22"/>
        </w:rPr>
        <w:t xml:space="preserve"> majority</w:t>
      </w:r>
      <w:r w:rsidR="00315587" w:rsidRPr="007D569B">
        <w:rPr>
          <w:rFonts w:cstheme="minorHAnsi"/>
          <w:sz w:val="22"/>
          <w:szCs w:val="22"/>
        </w:rPr>
        <w:t xml:space="preserve"> </w:t>
      </w:r>
      <w:r w:rsidR="00771AFB" w:rsidRPr="007D569B">
        <w:rPr>
          <w:rFonts w:cstheme="minorHAnsi"/>
          <w:sz w:val="22"/>
          <w:szCs w:val="22"/>
        </w:rPr>
        <w:t>of the</w:t>
      </w:r>
      <w:r w:rsidR="006B184D" w:rsidRPr="007D569B">
        <w:rPr>
          <w:rFonts w:cstheme="minorHAnsi"/>
          <w:sz w:val="22"/>
          <w:szCs w:val="22"/>
        </w:rPr>
        <w:t>m</w:t>
      </w:r>
      <w:r w:rsidR="00771AFB" w:rsidRPr="007D569B">
        <w:rPr>
          <w:rFonts w:cstheme="minorHAnsi"/>
          <w:sz w:val="22"/>
          <w:szCs w:val="22"/>
        </w:rPr>
        <w:t xml:space="preserve"> indigenous</w:t>
      </w:r>
      <w:r w:rsidR="00A27B8F" w:rsidRPr="007D569B">
        <w:rPr>
          <w:rFonts w:cstheme="minorHAnsi"/>
          <w:sz w:val="22"/>
          <w:szCs w:val="22"/>
        </w:rPr>
        <w:t>.</w:t>
      </w:r>
    </w:p>
    <w:p w14:paraId="18E39B2B" w14:textId="77EC8280" w:rsidR="00771AFB" w:rsidRPr="007D569B" w:rsidRDefault="00771AFB" w:rsidP="007D569B">
      <w:pPr>
        <w:spacing w:line="276" w:lineRule="auto"/>
        <w:rPr>
          <w:rFonts w:cstheme="minorHAnsi"/>
          <w:b/>
          <w:bCs/>
          <w:sz w:val="22"/>
          <w:szCs w:val="22"/>
        </w:rPr>
      </w:pPr>
    </w:p>
    <w:p w14:paraId="74FC6289" w14:textId="08E784BB" w:rsidR="00E51867" w:rsidRPr="007D569B" w:rsidRDefault="00E51867" w:rsidP="007D569B">
      <w:pPr>
        <w:spacing w:line="276" w:lineRule="auto"/>
        <w:rPr>
          <w:rFonts w:cstheme="minorHAnsi"/>
          <w:color w:val="000000"/>
          <w:sz w:val="22"/>
          <w:szCs w:val="22"/>
        </w:rPr>
      </w:pPr>
      <w:r w:rsidRPr="007D569B">
        <w:rPr>
          <w:rFonts w:cstheme="minorHAnsi"/>
          <w:color w:val="000000"/>
          <w:sz w:val="22"/>
          <w:szCs w:val="22"/>
        </w:rPr>
        <w:t>The 52-page CAO investigation catalogues a series of failures by the IFC to uphold its own policies and to ensure no harm befell the communities of Santa Cru</w:t>
      </w:r>
      <w:r w:rsidR="00A27B8F" w:rsidRPr="007D569B">
        <w:rPr>
          <w:rFonts w:cstheme="minorHAnsi"/>
          <w:color w:val="000000"/>
          <w:sz w:val="22"/>
          <w:szCs w:val="22"/>
        </w:rPr>
        <w:t>z</w:t>
      </w:r>
      <w:r w:rsidRPr="007D569B">
        <w:rPr>
          <w:rFonts w:cstheme="minorHAnsi"/>
          <w:color w:val="000000"/>
          <w:sz w:val="22"/>
          <w:szCs w:val="22"/>
        </w:rPr>
        <w:t xml:space="preserve"> Barillas</w:t>
      </w:r>
      <w:r w:rsidR="00A27B8F" w:rsidRPr="007D569B">
        <w:rPr>
          <w:rFonts w:cstheme="minorHAnsi"/>
          <w:color w:val="000000"/>
          <w:sz w:val="22"/>
          <w:szCs w:val="22"/>
        </w:rPr>
        <w:t>, Huehuetenango</w:t>
      </w:r>
      <w:r w:rsidR="00695750" w:rsidRPr="007D569B">
        <w:rPr>
          <w:rFonts w:cstheme="minorHAnsi"/>
          <w:color w:val="000000"/>
          <w:sz w:val="22"/>
          <w:szCs w:val="22"/>
        </w:rPr>
        <w:t>,</w:t>
      </w:r>
      <w:r w:rsidR="00A27B8F" w:rsidRPr="007D569B">
        <w:rPr>
          <w:rFonts w:cstheme="minorHAnsi"/>
          <w:color w:val="000000"/>
          <w:sz w:val="22"/>
          <w:szCs w:val="22"/>
        </w:rPr>
        <w:t xml:space="preserve"> despite th</w:t>
      </w:r>
      <w:r w:rsidR="00B64AE9" w:rsidRPr="007D569B">
        <w:rPr>
          <w:rFonts w:cstheme="minorHAnsi"/>
          <w:color w:val="000000"/>
          <w:sz w:val="22"/>
          <w:szCs w:val="22"/>
        </w:rPr>
        <w:t>e high</w:t>
      </w:r>
      <w:r w:rsidR="00C24A62" w:rsidRPr="007D569B">
        <w:rPr>
          <w:rFonts w:cstheme="minorHAnsi"/>
          <w:color w:val="000000"/>
          <w:sz w:val="22"/>
          <w:szCs w:val="22"/>
        </w:rPr>
        <w:t>-</w:t>
      </w:r>
      <w:r w:rsidR="00B64AE9" w:rsidRPr="007D569B">
        <w:rPr>
          <w:rFonts w:cstheme="minorHAnsi"/>
          <w:color w:val="000000"/>
          <w:sz w:val="22"/>
          <w:szCs w:val="22"/>
        </w:rPr>
        <w:t>risk</w:t>
      </w:r>
      <w:r w:rsidR="00C24A62" w:rsidRPr="007D569B">
        <w:rPr>
          <w:rFonts w:cstheme="minorHAnsi"/>
          <w:color w:val="000000"/>
          <w:sz w:val="22"/>
          <w:szCs w:val="22"/>
        </w:rPr>
        <w:t xml:space="preserve"> post-conflict</w:t>
      </w:r>
      <w:r w:rsidR="00B64AE9" w:rsidRPr="007D569B">
        <w:rPr>
          <w:rFonts w:cstheme="minorHAnsi"/>
          <w:color w:val="000000"/>
          <w:sz w:val="22"/>
          <w:szCs w:val="22"/>
        </w:rPr>
        <w:t xml:space="preserve"> context </w:t>
      </w:r>
      <w:r w:rsidR="00C24A62" w:rsidRPr="007D569B">
        <w:rPr>
          <w:rFonts w:cstheme="minorHAnsi"/>
          <w:color w:val="000000"/>
          <w:sz w:val="22"/>
          <w:szCs w:val="22"/>
        </w:rPr>
        <w:t>and the presence of</w:t>
      </w:r>
      <w:r w:rsidR="00A27B8F" w:rsidRPr="007D569B">
        <w:rPr>
          <w:rFonts w:cstheme="minorHAnsi"/>
          <w:color w:val="000000"/>
          <w:sz w:val="22"/>
          <w:szCs w:val="22"/>
        </w:rPr>
        <w:t xml:space="preserve"> vulnerab</w:t>
      </w:r>
      <w:r w:rsidR="00B64AE9" w:rsidRPr="007D569B">
        <w:rPr>
          <w:rFonts w:cstheme="minorHAnsi"/>
          <w:color w:val="000000"/>
          <w:sz w:val="22"/>
          <w:szCs w:val="22"/>
        </w:rPr>
        <w:t>le indigenous communities</w:t>
      </w:r>
      <w:r w:rsidRPr="007D569B">
        <w:rPr>
          <w:rFonts w:cstheme="minorHAnsi"/>
          <w:color w:val="000000"/>
          <w:sz w:val="22"/>
          <w:szCs w:val="22"/>
        </w:rPr>
        <w:t>.</w:t>
      </w:r>
      <w:r w:rsidR="00014678">
        <w:rPr>
          <w:rFonts w:cstheme="minorHAnsi"/>
          <w:color w:val="000000"/>
          <w:sz w:val="22"/>
          <w:szCs w:val="22"/>
        </w:rPr>
        <w:t xml:space="preserve"> While accepting some of the CAO’s findings, the IFC</w:t>
      </w:r>
      <w:r w:rsidR="002D4804">
        <w:rPr>
          <w:rFonts w:cstheme="minorHAnsi"/>
          <w:color w:val="000000"/>
          <w:sz w:val="22"/>
          <w:szCs w:val="22"/>
        </w:rPr>
        <w:t>’s response to the investigation</w:t>
      </w:r>
      <w:r w:rsidR="00014678">
        <w:rPr>
          <w:rFonts w:cstheme="minorHAnsi"/>
          <w:color w:val="000000"/>
          <w:sz w:val="22"/>
          <w:szCs w:val="22"/>
        </w:rPr>
        <w:t xml:space="preserve"> denies the project’s link to the violence and repression suffered by local communities</w:t>
      </w:r>
      <w:r w:rsidR="002D4804">
        <w:rPr>
          <w:rFonts w:cstheme="minorHAnsi"/>
          <w:color w:val="000000"/>
          <w:sz w:val="22"/>
          <w:szCs w:val="22"/>
        </w:rPr>
        <w:t>. IFC</w:t>
      </w:r>
      <w:r w:rsidR="00014678">
        <w:rPr>
          <w:rFonts w:cstheme="minorHAnsi"/>
          <w:color w:val="000000"/>
          <w:sz w:val="22"/>
          <w:szCs w:val="22"/>
        </w:rPr>
        <w:t xml:space="preserve"> therefore takes no responsibility and offers no remedy in its response. </w:t>
      </w:r>
    </w:p>
    <w:p w14:paraId="47574E41" w14:textId="115D2379" w:rsidR="00E51867" w:rsidRPr="007D569B" w:rsidRDefault="00E51867" w:rsidP="007D569B">
      <w:pPr>
        <w:spacing w:line="276" w:lineRule="auto"/>
        <w:rPr>
          <w:rFonts w:cstheme="minorHAnsi"/>
          <w:sz w:val="22"/>
          <w:szCs w:val="22"/>
        </w:rPr>
      </w:pPr>
    </w:p>
    <w:p w14:paraId="308A9287" w14:textId="38F643C0" w:rsidR="00143F44" w:rsidRPr="007D569B" w:rsidRDefault="00187B63" w:rsidP="007D569B">
      <w:pPr>
        <w:spacing w:line="276" w:lineRule="auto"/>
        <w:rPr>
          <w:rFonts w:cstheme="minorHAnsi"/>
          <w:b/>
          <w:bCs/>
          <w:color w:val="4472C4" w:themeColor="accent1"/>
          <w:sz w:val="22"/>
          <w:szCs w:val="22"/>
        </w:rPr>
      </w:pPr>
      <w:r>
        <w:rPr>
          <w:rFonts w:cstheme="minorHAnsi"/>
          <w:b/>
          <w:bCs/>
          <w:color w:val="4472C4" w:themeColor="accent1"/>
          <w:sz w:val="22"/>
          <w:szCs w:val="22"/>
        </w:rPr>
        <w:lastRenderedPageBreak/>
        <w:t>CAO findings</w:t>
      </w:r>
    </w:p>
    <w:p w14:paraId="191823DE" w14:textId="6C2CD4AB" w:rsidR="00A27B8F" w:rsidRPr="007D569B" w:rsidRDefault="00380C2A" w:rsidP="007D569B">
      <w:pPr>
        <w:spacing w:line="276" w:lineRule="auto"/>
        <w:rPr>
          <w:rFonts w:cstheme="minorHAnsi"/>
          <w:sz w:val="22"/>
          <w:szCs w:val="22"/>
        </w:rPr>
      </w:pPr>
      <w:r w:rsidRPr="007D569B">
        <w:rPr>
          <w:rFonts w:cstheme="minorHAnsi"/>
          <w:sz w:val="22"/>
          <w:szCs w:val="22"/>
        </w:rPr>
        <w:t>CAO finds that</w:t>
      </w:r>
      <w:r w:rsidR="00A27B8F" w:rsidRPr="007D569B">
        <w:rPr>
          <w:rFonts w:cstheme="minorHAnsi"/>
          <w:b/>
          <w:bCs/>
          <w:sz w:val="22"/>
          <w:szCs w:val="22"/>
        </w:rPr>
        <w:t xml:space="preserve"> IFC </w:t>
      </w:r>
      <w:r w:rsidR="00145C52" w:rsidRPr="007D569B">
        <w:rPr>
          <w:rFonts w:cstheme="minorHAnsi"/>
          <w:b/>
          <w:bCs/>
          <w:sz w:val="22"/>
          <w:szCs w:val="22"/>
        </w:rPr>
        <w:t>failed to uphold</w:t>
      </w:r>
      <w:r w:rsidR="00A27B8F" w:rsidRPr="007D569B">
        <w:rPr>
          <w:rFonts w:cstheme="minorHAnsi"/>
          <w:b/>
          <w:bCs/>
          <w:sz w:val="22"/>
          <w:szCs w:val="22"/>
        </w:rPr>
        <w:t xml:space="preserve"> its own policies and procedures</w:t>
      </w:r>
      <w:r w:rsidR="00DE2C6A" w:rsidRPr="007D569B">
        <w:rPr>
          <w:rFonts w:cstheme="minorHAnsi"/>
          <w:b/>
          <w:bCs/>
          <w:sz w:val="22"/>
          <w:szCs w:val="22"/>
        </w:rPr>
        <w:t xml:space="preserve"> in relation to due diligence, monitoring and supervision,</w:t>
      </w:r>
      <w:r w:rsidR="00145C52" w:rsidRPr="007D569B">
        <w:rPr>
          <w:rFonts w:cstheme="minorHAnsi"/>
          <w:b/>
          <w:bCs/>
          <w:sz w:val="22"/>
          <w:szCs w:val="22"/>
        </w:rPr>
        <w:t xml:space="preserve"> breaching its Sustainability Policy and its Performance Standards</w:t>
      </w:r>
      <w:r w:rsidR="00145C52" w:rsidRPr="007D569B">
        <w:rPr>
          <w:rFonts w:cstheme="minorHAnsi"/>
          <w:sz w:val="22"/>
          <w:szCs w:val="22"/>
        </w:rPr>
        <w:t>, especially as regards indigenous peoples, consultation, and use of security guards</w:t>
      </w:r>
      <w:r w:rsidRPr="007D569B">
        <w:rPr>
          <w:rFonts w:cstheme="minorHAnsi"/>
          <w:sz w:val="22"/>
          <w:szCs w:val="22"/>
        </w:rPr>
        <w:t>:</w:t>
      </w:r>
    </w:p>
    <w:p w14:paraId="570DF344" w14:textId="77777777" w:rsidR="00380C2A" w:rsidRPr="007D569B" w:rsidRDefault="00380C2A" w:rsidP="007D569B">
      <w:pPr>
        <w:spacing w:line="276" w:lineRule="auto"/>
        <w:rPr>
          <w:rFonts w:cstheme="minorHAnsi"/>
          <w:sz w:val="22"/>
          <w:szCs w:val="22"/>
        </w:rPr>
      </w:pPr>
    </w:p>
    <w:p w14:paraId="421714E2" w14:textId="4C23631D" w:rsidR="005A4E5C" w:rsidRPr="007D569B" w:rsidRDefault="00A27B8F" w:rsidP="007D569B">
      <w:pPr>
        <w:pStyle w:val="ListParagraph"/>
        <w:numPr>
          <w:ilvl w:val="0"/>
          <w:numId w:val="9"/>
        </w:numPr>
        <w:spacing w:line="276" w:lineRule="auto"/>
        <w:rPr>
          <w:rFonts w:cstheme="minorHAnsi"/>
          <w:sz w:val="22"/>
          <w:szCs w:val="22"/>
        </w:rPr>
      </w:pPr>
      <w:r w:rsidRPr="007D569B">
        <w:rPr>
          <w:rFonts w:cstheme="minorHAnsi"/>
          <w:b/>
          <w:bCs/>
          <w:sz w:val="22"/>
          <w:szCs w:val="22"/>
        </w:rPr>
        <w:t>When CIFI filed a serious incident report to IFC, following the fatal shooting of local peasant farmer Andrés Pedro Miguel, IFC failed to respond or follow through</w:t>
      </w:r>
      <w:r w:rsidR="00022731" w:rsidRPr="007D569B">
        <w:rPr>
          <w:rFonts w:cstheme="minorHAnsi"/>
          <w:sz w:val="22"/>
          <w:szCs w:val="22"/>
        </w:rPr>
        <w:t xml:space="preserve">. The first time CIFI communicated with the IFC about the impacts of the </w:t>
      </w:r>
      <w:proofErr w:type="spellStart"/>
      <w:r w:rsidR="00022731" w:rsidRPr="007D569B">
        <w:rPr>
          <w:rFonts w:cstheme="minorHAnsi"/>
          <w:sz w:val="22"/>
          <w:szCs w:val="22"/>
        </w:rPr>
        <w:t>Canbalam</w:t>
      </w:r>
      <w:proofErr w:type="spellEnd"/>
      <w:r w:rsidR="00022731" w:rsidRPr="007D569B">
        <w:rPr>
          <w:rFonts w:cstheme="minorHAnsi"/>
          <w:sz w:val="22"/>
          <w:szCs w:val="22"/>
        </w:rPr>
        <w:t xml:space="preserve"> project was in </w:t>
      </w:r>
      <w:r w:rsidR="00380C2A" w:rsidRPr="007D569B">
        <w:rPr>
          <w:rFonts w:cstheme="minorHAnsi"/>
          <w:sz w:val="22"/>
          <w:szCs w:val="22"/>
        </w:rPr>
        <w:t>its</w:t>
      </w:r>
      <w:r w:rsidR="00022731" w:rsidRPr="007D569B">
        <w:rPr>
          <w:rFonts w:cstheme="minorHAnsi"/>
          <w:sz w:val="22"/>
          <w:szCs w:val="22"/>
        </w:rPr>
        <w:t xml:space="preserve"> serious incident report of June 2012. CAO notes, </w:t>
      </w:r>
      <w:r w:rsidR="00022731" w:rsidRPr="007D569B">
        <w:rPr>
          <w:rFonts w:cstheme="minorHAnsi"/>
          <w:i/>
          <w:iCs/>
          <w:sz w:val="22"/>
          <w:szCs w:val="22"/>
        </w:rPr>
        <w:t>“There is no record of IFC following up with the client in relation to the incident report</w:t>
      </w:r>
      <w:r w:rsidR="005C1ABA" w:rsidRPr="007D569B">
        <w:rPr>
          <w:rFonts w:cstheme="minorHAnsi"/>
          <w:i/>
          <w:iCs/>
          <w:sz w:val="22"/>
          <w:szCs w:val="22"/>
        </w:rPr>
        <w:t>,</w:t>
      </w:r>
      <w:r w:rsidR="00022731" w:rsidRPr="007D569B">
        <w:rPr>
          <w:rFonts w:cstheme="minorHAnsi"/>
          <w:i/>
          <w:iCs/>
          <w:sz w:val="22"/>
          <w:szCs w:val="22"/>
        </w:rPr>
        <w:t>”</w:t>
      </w:r>
      <w:r w:rsidR="00022731" w:rsidRPr="007D569B">
        <w:rPr>
          <w:rStyle w:val="FootnoteReference"/>
          <w:rFonts w:cstheme="minorHAnsi"/>
          <w:sz w:val="22"/>
          <w:szCs w:val="22"/>
        </w:rPr>
        <w:footnoteReference w:id="7"/>
      </w:r>
      <w:r w:rsidR="00022731" w:rsidRPr="007D569B">
        <w:rPr>
          <w:rFonts w:cstheme="minorHAnsi"/>
          <w:sz w:val="22"/>
          <w:szCs w:val="22"/>
        </w:rPr>
        <w:t xml:space="preserve"> </w:t>
      </w:r>
      <w:r w:rsidR="005C1ABA" w:rsidRPr="007D569B">
        <w:rPr>
          <w:rFonts w:cstheme="minorHAnsi"/>
          <w:sz w:val="22"/>
          <w:szCs w:val="22"/>
        </w:rPr>
        <w:t>despite the fact that</w:t>
      </w:r>
      <w:r w:rsidR="00022731" w:rsidRPr="007D569B">
        <w:rPr>
          <w:rFonts w:cstheme="minorHAnsi"/>
          <w:sz w:val="22"/>
          <w:szCs w:val="22"/>
        </w:rPr>
        <w:t xml:space="preserve">, </w:t>
      </w:r>
      <w:r w:rsidR="00022731" w:rsidRPr="007D569B">
        <w:rPr>
          <w:rFonts w:cstheme="minorHAnsi"/>
          <w:i/>
          <w:iCs/>
          <w:sz w:val="22"/>
          <w:szCs w:val="22"/>
        </w:rPr>
        <w:t>“Once the client informed IFC in June 2012 of the violent incidents of May 2012, IFC had a duty to respond.”</w:t>
      </w:r>
      <w:r w:rsidR="00022731" w:rsidRPr="007D569B">
        <w:rPr>
          <w:rFonts w:cstheme="minorHAnsi"/>
          <w:sz w:val="22"/>
          <w:szCs w:val="22"/>
        </w:rPr>
        <w:t xml:space="preserve"> Specifically</w:t>
      </w:r>
      <w:r w:rsidR="00320F94" w:rsidRPr="007D569B">
        <w:rPr>
          <w:rFonts w:cstheme="minorHAnsi"/>
          <w:sz w:val="22"/>
          <w:szCs w:val="22"/>
        </w:rPr>
        <w:t>,</w:t>
      </w:r>
      <w:r w:rsidR="00022731" w:rsidRPr="007D569B">
        <w:rPr>
          <w:rFonts w:cstheme="minorHAnsi"/>
          <w:sz w:val="22"/>
          <w:szCs w:val="22"/>
        </w:rPr>
        <w:t xml:space="preserve"> IFC’s obligations included </w:t>
      </w:r>
      <w:r w:rsidR="00720309" w:rsidRPr="007D569B">
        <w:rPr>
          <w:rFonts w:cstheme="minorHAnsi"/>
          <w:sz w:val="22"/>
          <w:szCs w:val="22"/>
        </w:rPr>
        <w:t xml:space="preserve">ensuring </w:t>
      </w:r>
      <w:r w:rsidR="00022731" w:rsidRPr="007D569B">
        <w:rPr>
          <w:rFonts w:cstheme="minorHAnsi"/>
          <w:sz w:val="22"/>
          <w:szCs w:val="22"/>
        </w:rPr>
        <w:t>an analysis of the root causes of the problem and plans to prevent it happening again.</w:t>
      </w:r>
      <w:r w:rsidR="00022731" w:rsidRPr="007D569B">
        <w:rPr>
          <w:rStyle w:val="FootnoteReference"/>
          <w:rFonts w:cstheme="minorHAnsi"/>
          <w:sz w:val="22"/>
          <w:szCs w:val="22"/>
        </w:rPr>
        <w:footnoteReference w:id="8"/>
      </w:r>
      <w:r w:rsidR="00022731" w:rsidRPr="007D569B">
        <w:rPr>
          <w:rFonts w:cstheme="minorHAnsi"/>
          <w:sz w:val="22"/>
          <w:szCs w:val="22"/>
        </w:rPr>
        <w:t xml:space="preserve"> </w:t>
      </w:r>
      <w:r w:rsidR="00741E76">
        <w:rPr>
          <w:rStyle w:val="FootnoteReference"/>
          <w:rFonts w:cstheme="minorHAnsi"/>
          <w:sz w:val="22"/>
          <w:szCs w:val="22"/>
        </w:rPr>
        <w:footnoteReference w:id="9"/>
      </w:r>
    </w:p>
    <w:p w14:paraId="713CC0FC" w14:textId="6C81327F" w:rsidR="00022731" w:rsidRPr="007D569B" w:rsidRDefault="00022731" w:rsidP="007D569B">
      <w:pPr>
        <w:pStyle w:val="ListParagraph"/>
        <w:numPr>
          <w:ilvl w:val="0"/>
          <w:numId w:val="9"/>
        </w:numPr>
        <w:spacing w:line="276" w:lineRule="auto"/>
        <w:rPr>
          <w:rFonts w:cstheme="minorHAnsi"/>
          <w:sz w:val="22"/>
          <w:szCs w:val="22"/>
        </w:rPr>
      </w:pPr>
      <w:r w:rsidRPr="007D569B">
        <w:rPr>
          <w:rFonts w:cstheme="minorHAnsi"/>
          <w:sz w:val="22"/>
          <w:szCs w:val="22"/>
        </w:rPr>
        <w:t>CAO concludes: “</w:t>
      </w:r>
      <w:r w:rsidRPr="007D569B">
        <w:rPr>
          <w:rFonts w:cstheme="minorHAnsi"/>
          <w:b/>
          <w:bCs/>
          <w:i/>
          <w:iCs/>
          <w:sz w:val="22"/>
          <w:szCs w:val="22"/>
        </w:rPr>
        <w:t xml:space="preserve">IFC did not take measures </w:t>
      </w:r>
      <w:r w:rsidR="00053CC1" w:rsidRPr="007D569B">
        <w:rPr>
          <w:rFonts w:cstheme="minorHAnsi"/>
          <w:b/>
          <w:bCs/>
          <w:i/>
          <w:iCs/>
          <w:sz w:val="22"/>
          <w:szCs w:val="22"/>
        </w:rPr>
        <w:t>…</w:t>
      </w:r>
      <w:r w:rsidRPr="007D569B">
        <w:rPr>
          <w:rFonts w:cstheme="minorHAnsi"/>
          <w:b/>
          <w:bCs/>
          <w:i/>
          <w:iCs/>
          <w:sz w:val="22"/>
          <w:szCs w:val="22"/>
        </w:rPr>
        <w:t xml:space="preserve"> to ensure that the client was properly applying the Performance Standards to the project, following the violent incidents of May 2012.” </w:t>
      </w:r>
      <w:r w:rsidRPr="007D569B">
        <w:rPr>
          <w:rFonts w:cstheme="minorHAnsi"/>
          <w:sz w:val="22"/>
          <w:szCs w:val="22"/>
        </w:rPr>
        <w:t xml:space="preserve">CAO notes, </w:t>
      </w:r>
      <w:r w:rsidRPr="007D569B">
        <w:rPr>
          <w:rFonts w:cstheme="minorHAnsi"/>
          <w:i/>
          <w:iCs/>
          <w:sz w:val="22"/>
          <w:szCs w:val="22"/>
        </w:rPr>
        <w:t>“Specifically, IFC did not: (a) schedule a site visit to the client or the project; (b) document a review of the client-commissioned Social Monitoring Report; (c) review the client’s ESMS</w:t>
      </w:r>
      <w:r w:rsidR="005A4E5C" w:rsidRPr="007D569B">
        <w:rPr>
          <w:rFonts w:cstheme="minorHAnsi"/>
          <w:i/>
          <w:iCs/>
          <w:sz w:val="22"/>
          <w:szCs w:val="22"/>
        </w:rPr>
        <w:t xml:space="preserve"> [Environmental and Social Monitoring System]</w:t>
      </w:r>
      <w:r w:rsidRPr="007D569B">
        <w:rPr>
          <w:rFonts w:cstheme="minorHAnsi"/>
          <w:i/>
          <w:iCs/>
          <w:sz w:val="22"/>
          <w:szCs w:val="22"/>
        </w:rPr>
        <w:t xml:space="preserve"> implementation in relation to the project; (d) ensure the client had in place an adequate remedial action plan for the project; and (e) remain informed of ongoing implementation of project-level remedial actions.”</w:t>
      </w:r>
      <w:r w:rsidRPr="007D569B">
        <w:rPr>
          <w:rStyle w:val="FootnoteReference"/>
          <w:rFonts w:cstheme="minorHAnsi"/>
          <w:sz w:val="22"/>
          <w:szCs w:val="22"/>
        </w:rPr>
        <w:footnoteReference w:id="10"/>
      </w:r>
    </w:p>
    <w:p w14:paraId="42FFDA82" w14:textId="36F48A08" w:rsidR="00A27B8F" w:rsidRPr="007D569B" w:rsidRDefault="00022731" w:rsidP="007D569B">
      <w:pPr>
        <w:pStyle w:val="ListParagraph"/>
        <w:numPr>
          <w:ilvl w:val="0"/>
          <w:numId w:val="9"/>
        </w:numPr>
        <w:spacing w:line="276" w:lineRule="auto"/>
        <w:rPr>
          <w:rFonts w:cstheme="minorHAnsi"/>
          <w:sz w:val="22"/>
          <w:szCs w:val="22"/>
        </w:rPr>
      </w:pPr>
      <w:r w:rsidRPr="007D569B">
        <w:rPr>
          <w:rFonts w:cstheme="minorHAnsi"/>
          <w:b/>
          <w:bCs/>
          <w:sz w:val="22"/>
          <w:szCs w:val="22"/>
        </w:rPr>
        <w:t>Because IFC did not engage with CIFI at this stage, IFC failed to ensure the project could meet its Performance Standards</w:t>
      </w:r>
      <w:r w:rsidRPr="007D569B">
        <w:rPr>
          <w:rFonts w:cstheme="minorHAnsi"/>
          <w:sz w:val="22"/>
          <w:szCs w:val="22"/>
        </w:rPr>
        <w:t>, specifically regarding the use of security forces (PS4), and assessment on impacts on indigenous peoples (PS1 and PS7). In particular, CAO notes that IFC failed</w:t>
      </w:r>
      <w:r w:rsidR="0096775F" w:rsidRPr="007D569B">
        <w:rPr>
          <w:rFonts w:cstheme="minorHAnsi"/>
          <w:sz w:val="22"/>
          <w:szCs w:val="22"/>
        </w:rPr>
        <w:t xml:space="preserve"> to</w:t>
      </w:r>
      <w:r w:rsidRPr="007D569B">
        <w:rPr>
          <w:rFonts w:cstheme="minorHAnsi"/>
          <w:sz w:val="22"/>
          <w:szCs w:val="22"/>
        </w:rPr>
        <w:t xml:space="preserve"> </w:t>
      </w:r>
      <w:r w:rsidRPr="007D569B">
        <w:rPr>
          <w:rFonts w:cstheme="minorHAnsi"/>
          <w:i/>
          <w:iCs/>
          <w:sz w:val="22"/>
          <w:szCs w:val="22"/>
        </w:rPr>
        <w:t>“address project impacts throughout the project cycle including at project closure (PS1 para. 6)”.</w:t>
      </w:r>
    </w:p>
    <w:p w14:paraId="5E601352" w14:textId="1B188657" w:rsidR="0006057A" w:rsidRPr="007D569B" w:rsidRDefault="0006057A" w:rsidP="007D569B">
      <w:pPr>
        <w:pStyle w:val="ListParagraph"/>
        <w:numPr>
          <w:ilvl w:val="0"/>
          <w:numId w:val="9"/>
        </w:numPr>
        <w:spacing w:line="276" w:lineRule="auto"/>
        <w:rPr>
          <w:rFonts w:cstheme="minorHAnsi"/>
          <w:sz w:val="22"/>
          <w:szCs w:val="22"/>
        </w:rPr>
      </w:pPr>
      <w:r w:rsidRPr="007D569B">
        <w:rPr>
          <w:rFonts w:cstheme="minorHAnsi"/>
          <w:b/>
          <w:bCs/>
          <w:sz w:val="22"/>
          <w:szCs w:val="22"/>
        </w:rPr>
        <w:t xml:space="preserve">Despite being </w:t>
      </w:r>
      <w:r w:rsidR="00834E0C" w:rsidRPr="007D569B">
        <w:rPr>
          <w:rFonts w:cstheme="minorHAnsi"/>
          <w:b/>
          <w:bCs/>
          <w:sz w:val="22"/>
          <w:szCs w:val="22"/>
        </w:rPr>
        <w:t>informed</w:t>
      </w:r>
      <w:r w:rsidRPr="007D569B">
        <w:rPr>
          <w:rFonts w:cstheme="minorHAnsi"/>
          <w:b/>
          <w:bCs/>
          <w:sz w:val="22"/>
          <w:szCs w:val="22"/>
        </w:rPr>
        <w:t xml:space="preserve"> </w:t>
      </w:r>
      <w:r w:rsidR="00834E0C" w:rsidRPr="007D569B">
        <w:rPr>
          <w:rFonts w:cstheme="minorHAnsi"/>
          <w:b/>
          <w:bCs/>
          <w:sz w:val="22"/>
          <w:szCs w:val="22"/>
        </w:rPr>
        <w:t>about</w:t>
      </w:r>
      <w:r w:rsidRPr="007D569B">
        <w:rPr>
          <w:rFonts w:cstheme="minorHAnsi"/>
          <w:b/>
          <w:bCs/>
          <w:sz w:val="22"/>
          <w:szCs w:val="22"/>
        </w:rPr>
        <w:t xml:space="preserve"> significant violence and problems at the project site, IFC only engaged with CIFI </w:t>
      </w:r>
      <w:r w:rsidRPr="001605B7">
        <w:rPr>
          <w:rFonts w:cstheme="minorHAnsi"/>
          <w:b/>
          <w:bCs/>
          <w:sz w:val="22"/>
          <w:szCs w:val="22"/>
        </w:rPr>
        <w:t>once</w:t>
      </w:r>
      <w:r w:rsidRPr="007D569B">
        <w:rPr>
          <w:rFonts w:cstheme="minorHAnsi"/>
          <w:b/>
          <w:bCs/>
          <w:sz w:val="22"/>
          <w:szCs w:val="22"/>
        </w:rPr>
        <w:t xml:space="preserve"> about social and environmental issues</w:t>
      </w:r>
      <w:r w:rsidRPr="007D569B">
        <w:rPr>
          <w:rFonts w:cstheme="minorHAnsi"/>
          <w:sz w:val="22"/>
          <w:szCs w:val="22"/>
        </w:rPr>
        <w:t xml:space="preserve">. IFC’s only recorded engagement with CIFI about the </w:t>
      </w:r>
      <w:proofErr w:type="spellStart"/>
      <w:r w:rsidRPr="007D569B">
        <w:rPr>
          <w:rFonts w:cstheme="minorHAnsi"/>
          <w:sz w:val="22"/>
          <w:szCs w:val="22"/>
        </w:rPr>
        <w:t>Canbalam</w:t>
      </w:r>
      <w:proofErr w:type="spellEnd"/>
      <w:r w:rsidRPr="007D569B">
        <w:rPr>
          <w:rFonts w:cstheme="minorHAnsi"/>
          <w:sz w:val="22"/>
          <w:szCs w:val="22"/>
        </w:rPr>
        <w:t xml:space="preserve"> project </w:t>
      </w:r>
      <w:r w:rsidR="00023295">
        <w:rPr>
          <w:rFonts w:cstheme="minorHAnsi"/>
          <w:sz w:val="22"/>
          <w:szCs w:val="22"/>
        </w:rPr>
        <w:t>wa</w:t>
      </w:r>
      <w:r w:rsidRPr="007D569B">
        <w:rPr>
          <w:rFonts w:cstheme="minorHAnsi"/>
          <w:sz w:val="22"/>
          <w:szCs w:val="22"/>
        </w:rPr>
        <w:t>s in March 2013, in relation to concerns around the quality of the project’s environmental and social review.</w:t>
      </w:r>
      <w:r w:rsidRPr="007D569B">
        <w:rPr>
          <w:rStyle w:val="FootnoteReference"/>
          <w:rFonts w:cstheme="minorHAnsi"/>
          <w:sz w:val="22"/>
          <w:szCs w:val="22"/>
        </w:rPr>
        <w:footnoteReference w:id="11"/>
      </w:r>
      <w:r w:rsidRPr="007D569B">
        <w:rPr>
          <w:rFonts w:cstheme="minorHAnsi"/>
          <w:sz w:val="22"/>
          <w:szCs w:val="22"/>
        </w:rPr>
        <w:t xml:space="preserve"> </w:t>
      </w:r>
      <w:r w:rsidR="00806210">
        <w:rPr>
          <w:rStyle w:val="FootnoteReference"/>
          <w:rFonts w:cstheme="minorHAnsi"/>
          <w:sz w:val="22"/>
          <w:szCs w:val="22"/>
        </w:rPr>
        <w:footnoteReference w:id="12"/>
      </w:r>
    </w:p>
    <w:p w14:paraId="2C1296BC" w14:textId="3F0DB523" w:rsidR="00A27B8F" w:rsidRPr="007D569B" w:rsidRDefault="00A27B8F" w:rsidP="007D569B">
      <w:pPr>
        <w:pStyle w:val="ListParagraph"/>
        <w:numPr>
          <w:ilvl w:val="0"/>
          <w:numId w:val="9"/>
        </w:numPr>
        <w:spacing w:line="276" w:lineRule="auto"/>
        <w:rPr>
          <w:rFonts w:cstheme="minorHAnsi"/>
          <w:sz w:val="22"/>
          <w:szCs w:val="22"/>
        </w:rPr>
      </w:pPr>
      <w:r w:rsidRPr="007D569B">
        <w:rPr>
          <w:rFonts w:cstheme="minorHAnsi"/>
          <w:b/>
          <w:bCs/>
          <w:sz w:val="22"/>
          <w:szCs w:val="22"/>
        </w:rPr>
        <w:t xml:space="preserve">Despite </w:t>
      </w:r>
      <w:r w:rsidR="00FC2C9E" w:rsidRPr="007D569B">
        <w:rPr>
          <w:rFonts w:cstheme="minorHAnsi"/>
          <w:b/>
          <w:bCs/>
          <w:sz w:val="22"/>
          <w:szCs w:val="22"/>
        </w:rPr>
        <w:t>being aware</w:t>
      </w:r>
      <w:r w:rsidRPr="007D569B">
        <w:rPr>
          <w:rFonts w:cstheme="minorHAnsi"/>
          <w:b/>
          <w:bCs/>
          <w:sz w:val="22"/>
          <w:szCs w:val="22"/>
        </w:rPr>
        <w:t xml:space="preserve"> that CIFI repeatedly failed to meet </w:t>
      </w:r>
      <w:r w:rsidR="002D6E58" w:rsidRPr="007D569B">
        <w:rPr>
          <w:rFonts w:cstheme="minorHAnsi"/>
          <w:b/>
          <w:bCs/>
          <w:sz w:val="22"/>
          <w:szCs w:val="22"/>
        </w:rPr>
        <w:t>IFC’s</w:t>
      </w:r>
      <w:r w:rsidRPr="007D569B">
        <w:rPr>
          <w:rFonts w:cstheme="minorHAnsi"/>
          <w:b/>
          <w:bCs/>
          <w:sz w:val="22"/>
          <w:szCs w:val="22"/>
        </w:rPr>
        <w:t xml:space="preserve"> standards and lacked the capacity to ensure social and environmental protections were applied at project level, IFC </w:t>
      </w:r>
      <w:r w:rsidR="00FC2C9E" w:rsidRPr="007D569B">
        <w:rPr>
          <w:rFonts w:cstheme="minorHAnsi"/>
          <w:b/>
          <w:bCs/>
          <w:sz w:val="22"/>
          <w:szCs w:val="22"/>
        </w:rPr>
        <w:t xml:space="preserve">did not take </w:t>
      </w:r>
      <w:r w:rsidR="0074337B" w:rsidRPr="007D569B">
        <w:rPr>
          <w:rFonts w:cstheme="minorHAnsi"/>
          <w:b/>
          <w:bCs/>
          <w:sz w:val="22"/>
          <w:szCs w:val="22"/>
        </w:rPr>
        <w:t xml:space="preserve">effective </w:t>
      </w:r>
      <w:r w:rsidR="00FC2C9E" w:rsidRPr="007D569B">
        <w:rPr>
          <w:rFonts w:cstheme="minorHAnsi"/>
          <w:b/>
          <w:bCs/>
          <w:sz w:val="22"/>
          <w:szCs w:val="22"/>
        </w:rPr>
        <w:t xml:space="preserve">action to address these shortcomings. </w:t>
      </w:r>
      <w:r w:rsidR="00FC2C9E" w:rsidRPr="007D569B">
        <w:rPr>
          <w:rFonts w:cstheme="minorHAnsi"/>
          <w:sz w:val="22"/>
          <w:szCs w:val="22"/>
        </w:rPr>
        <w:t>As a result, the CAO concludes, “</w:t>
      </w:r>
      <w:r w:rsidR="00FC2C9E" w:rsidRPr="007D569B">
        <w:rPr>
          <w:rFonts w:cstheme="minorHAnsi"/>
          <w:i/>
          <w:iCs/>
          <w:sz w:val="22"/>
          <w:szCs w:val="22"/>
        </w:rPr>
        <w:t>Nine years after making its investment, IFC has yet to assure itself that the client is operating the ESMS as envisaged at the time of appraisal or that its client has applied the applicable performance requirements to their sub-projects.</w:t>
      </w:r>
      <w:r w:rsidR="00D05120">
        <w:rPr>
          <w:rFonts w:cstheme="minorHAnsi"/>
          <w:i/>
          <w:iCs/>
          <w:sz w:val="22"/>
          <w:szCs w:val="22"/>
        </w:rPr>
        <w:t>”</w:t>
      </w:r>
    </w:p>
    <w:p w14:paraId="069D99F4" w14:textId="79543382" w:rsidR="00A27B8F" w:rsidRDefault="00A27B8F" w:rsidP="007D569B">
      <w:pPr>
        <w:spacing w:line="276" w:lineRule="auto"/>
        <w:rPr>
          <w:rFonts w:cstheme="minorHAnsi"/>
          <w:sz w:val="22"/>
          <w:szCs w:val="22"/>
        </w:rPr>
      </w:pPr>
    </w:p>
    <w:p w14:paraId="41F4C773" w14:textId="77777777" w:rsidR="00A9235D" w:rsidRPr="007D569B" w:rsidRDefault="00A9235D" w:rsidP="00A9235D">
      <w:pPr>
        <w:spacing w:line="276" w:lineRule="auto"/>
        <w:rPr>
          <w:rFonts w:cstheme="minorHAnsi"/>
          <w:b/>
          <w:bCs/>
          <w:color w:val="4472C4" w:themeColor="accent1"/>
          <w:sz w:val="22"/>
          <w:szCs w:val="22"/>
        </w:rPr>
      </w:pPr>
      <w:r w:rsidRPr="007D569B">
        <w:rPr>
          <w:rFonts w:cstheme="minorHAnsi"/>
          <w:b/>
          <w:bCs/>
          <w:color w:val="4472C4" w:themeColor="accent1"/>
          <w:sz w:val="22"/>
          <w:szCs w:val="22"/>
        </w:rPr>
        <w:t>The IFC’s response</w:t>
      </w:r>
    </w:p>
    <w:p w14:paraId="6509420B" w14:textId="69096113" w:rsidR="00A9235D" w:rsidRPr="007D569B" w:rsidRDefault="00A9235D" w:rsidP="00A9235D">
      <w:pPr>
        <w:spacing w:line="276" w:lineRule="auto"/>
        <w:rPr>
          <w:rFonts w:cstheme="minorHAnsi"/>
          <w:sz w:val="22"/>
          <w:szCs w:val="22"/>
        </w:rPr>
      </w:pPr>
      <w:r>
        <w:rPr>
          <w:rFonts w:cstheme="minorHAnsi"/>
          <w:color w:val="000000" w:themeColor="text1"/>
          <w:sz w:val="22"/>
          <w:szCs w:val="22"/>
        </w:rPr>
        <w:t>The management of the World Bank and IFC have</w:t>
      </w:r>
      <w:r w:rsidRPr="007D569B">
        <w:rPr>
          <w:rFonts w:cstheme="minorHAnsi"/>
          <w:sz w:val="22"/>
          <w:szCs w:val="22"/>
        </w:rPr>
        <w:t xml:space="preserve"> taken a </w:t>
      </w:r>
      <w:r>
        <w:rPr>
          <w:rFonts w:cstheme="minorHAnsi"/>
          <w:sz w:val="22"/>
          <w:szCs w:val="22"/>
        </w:rPr>
        <w:t>long time</w:t>
      </w:r>
      <w:r w:rsidRPr="007D569B">
        <w:rPr>
          <w:rFonts w:cstheme="minorHAnsi"/>
          <w:sz w:val="22"/>
          <w:szCs w:val="22"/>
        </w:rPr>
        <w:t xml:space="preserve"> to respond </w:t>
      </w:r>
      <w:r w:rsidR="00023295">
        <w:rPr>
          <w:rFonts w:cstheme="minorHAnsi"/>
          <w:sz w:val="22"/>
          <w:szCs w:val="22"/>
        </w:rPr>
        <w:t xml:space="preserve">officially </w:t>
      </w:r>
      <w:r w:rsidRPr="007D569B">
        <w:rPr>
          <w:rFonts w:cstheme="minorHAnsi"/>
          <w:sz w:val="22"/>
          <w:szCs w:val="22"/>
        </w:rPr>
        <w:t xml:space="preserve">to this report. </w:t>
      </w:r>
      <w:r>
        <w:rPr>
          <w:rFonts w:cstheme="minorHAnsi"/>
          <w:sz w:val="22"/>
          <w:szCs w:val="22"/>
        </w:rPr>
        <w:t>Completed</w:t>
      </w:r>
      <w:r w:rsidRPr="007D569B">
        <w:rPr>
          <w:rFonts w:cstheme="minorHAnsi"/>
          <w:sz w:val="22"/>
          <w:szCs w:val="22"/>
        </w:rPr>
        <w:t xml:space="preserve"> in December 2018, the CAO’s investigation was initially replied to b</w:t>
      </w:r>
      <w:r>
        <w:rPr>
          <w:rFonts w:cstheme="minorHAnsi"/>
          <w:sz w:val="22"/>
          <w:szCs w:val="22"/>
        </w:rPr>
        <w:t>y</w:t>
      </w:r>
      <w:r w:rsidRPr="007D569B">
        <w:rPr>
          <w:rFonts w:cstheme="minorHAnsi"/>
          <w:sz w:val="22"/>
          <w:szCs w:val="22"/>
        </w:rPr>
        <w:t xml:space="preserve"> the IFC in early 2019. </w:t>
      </w:r>
      <w:r w:rsidR="00E666F0">
        <w:rPr>
          <w:rFonts w:cstheme="minorHAnsi"/>
          <w:sz w:val="22"/>
          <w:szCs w:val="22"/>
        </w:rPr>
        <w:t xml:space="preserve">This </w:t>
      </w:r>
      <w:r w:rsidR="00E666F0">
        <w:rPr>
          <w:rFonts w:cstheme="minorHAnsi"/>
          <w:sz w:val="22"/>
          <w:szCs w:val="22"/>
        </w:rPr>
        <w:lastRenderedPageBreak/>
        <w:t>response</w:t>
      </w:r>
      <w:r w:rsidR="00E666F0" w:rsidRPr="007D569B">
        <w:rPr>
          <w:rFonts w:cstheme="minorHAnsi"/>
          <w:sz w:val="22"/>
          <w:szCs w:val="22"/>
        </w:rPr>
        <w:t xml:space="preserve"> </w:t>
      </w:r>
      <w:r w:rsidRPr="007D569B">
        <w:rPr>
          <w:rFonts w:cstheme="minorHAnsi"/>
          <w:sz w:val="22"/>
          <w:szCs w:val="22"/>
        </w:rPr>
        <w:t xml:space="preserve">then got delayed </w:t>
      </w:r>
      <w:r w:rsidR="00E666F0">
        <w:rPr>
          <w:rFonts w:cstheme="minorHAnsi"/>
          <w:sz w:val="22"/>
          <w:szCs w:val="22"/>
        </w:rPr>
        <w:t>by passing through the offices of</w:t>
      </w:r>
      <w:r w:rsidRPr="007D569B">
        <w:rPr>
          <w:rFonts w:cstheme="minorHAnsi"/>
          <w:sz w:val="22"/>
          <w:szCs w:val="22"/>
        </w:rPr>
        <w:t xml:space="preserve"> 2019’s three World Bank Presidents, before a Board meeting in October 2019 and another in Feb</w:t>
      </w:r>
      <w:r>
        <w:rPr>
          <w:rFonts w:cstheme="minorHAnsi"/>
          <w:sz w:val="22"/>
          <w:szCs w:val="22"/>
        </w:rPr>
        <w:t>ruary</w:t>
      </w:r>
      <w:r w:rsidRPr="007D569B">
        <w:rPr>
          <w:rFonts w:cstheme="minorHAnsi"/>
          <w:sz w:val="22"/>
          <w:szCs w:val="22"/>
        </w:rPr>
        <w:t xml:space="preserve"> 2020 requested the IFC to revise its response.</w:t>
      </w:r>
      <w:r>
        <w:rPr>
          <w:rStyle w:val="FootnoteReference"/>
          <w:rFonts w:cstheme="minorHAnsi"/>
          <w:sz w:val="22"/>
          <w:szCs w:val="22"/>
        </w:rPr>
        <w:footnoteReference w:id="13"/>
      </w:r>
      <w:r w:rsidRPr="007D569B">
        <w:rPr>
          <w:rFonts w:cstheme="minorHAnsi"/>
          <w:sz w:val="22"/>
          <w:szCs w:val="22"/>
        </w:rPr>
        <w:t xml:space="preserve"> </w:t>
      </w:r>
    </w:p>
    <w:p w14:paraId="2F378B72" w14:textId="77777777" w:rsidR="00A9235D" w:rsidRPr="007D569B" w:rsidRDefault="00A9235D" w:rsidP="00A9235D">
      <w:pPr>
        <w:spacing w:line="276" w:lineRule="auto"/>
        <w:rPr>
          <w:rFonts w:cstheme="minorHAnsi"/>
          <w:sz w:val="22"/>
          <w:szCs w:val="22"/>
        </w:rPr>
      </w:pPr>
    </w:p>
    <w:p w14:paraId="00ED5A07" w14:textId="77777777" w:rsidR="00A9235D" w:rsidRPr="007D569B" w:rsidRDefault="00A9235D" w:rsidP="00A9235D">
      <w:pPr>
        <w:spacing w:line="276" w:lineRule="auto"/>
        <w:rPr>
          <w:rFonts w:cstheme="minorHAnsi"/>
          <w:sz w:val="22"/>
          <w:szCs w:val="22"/>
        </w:rPr>
      </w:pPr>
      <w:r w:rsidRPr="007D569B">
        <w:rPr>
          <w:rFonts w:cstheme="minorHAnsi"/>
          <w:sz w:val="22"/>
          <w:szCs w:val="22"/>
        </w:rPr>
        <w:t xml:space="preserve">Affected communities, who initially filed the complaint in July 2015, have had to wait </w:t>
      </w:r>
      <w:r>
        <w:rPr>
          <w:rFonts w:cstheme="minorHAnsi"/>
          <w:sz w:val="22"/>
          <w:szCs w:val="22"/>
        </w:rPr>
        <w:t>five years</w:t>
      </w:r>
      <w:r w:rsidRPr="007D569B">
        <w:rPr>
          <w:rFonts w:cstheme="minorHAnsi"/>
          <w:sz w:val="22"/>
          <w:szCs w:val="22"/>
        </w:rPr>
        <w:t xml:space="preserve"> to hear the result.  </w:t>
      </w:r>
    </w:p>
    <w:p w14:paraId="2CA36834" w14:textId="77777777" w:rsidR="00A9235D" w:rsidRPr="007D569B" w:rsidRDefault="00A9235D" w:rsidP="00A9235D">
      <w:pPr>
        <w:spacing w:line="276" w:lineRule="auto"/>
        <w:rPr>
          <w:rFonts w:cstheme="minorHAnsi"/>
          <w:sz w:val="22"/>
          <w:szCs w:val="22"/>
        </w:rPr>
      </w:pPr>
    </w:p>
    <w:p w14:paraId="13E16C6F" w14:textId="77777777" w:rsidR="00A9235D" w:rsidRDefault="00A9235D" w:rsidP="00A9235D">
      <w:pPr>
        <w:spacing w:line="276" w:lineRule="auto"/>
        <w:rPr>
          <w:rFonts w:cstheme="minorHAnsi"/>
          <w:sz w:val="22"/>
          <w:szCs w:val="22"/>
        </w:rPr>
      </w:pPr>
      <w:r w:rsidRPr="007D569B">
        <w:rPr>
          <w:rFonts w:cstheme="minorHAnsi"/>
          <w:sz w:val="22"/>
          <w:szCs w:val="22"/>
        </w:rPr>
        <w:t>Was it worth it?</w:t>
      </w:r>
    </w:p>
    <w:p w14:paraId="4A099FA0" w14:textId="77777777" w:rsidR="00A9235D" w:rsidRPr="007D569B" w:rsidRDefault="00A9235D" w:rsidP="00A9235D">
      <w:pPr>
        <w:spacing w:line="276" w:lineRule="auto"/>
        <w:rPr>
          <w:rFonts w:cstheme="minorHAnsi"/>
          <w:sz w:val="22"/>
          <w:szCs w:val="22"/>
        </w:rPr>
      </w:pPr>
    </w:p>
    <w:p w14:paraId="6E3D8F48" w14:textId="0903B509" w:rsidR="00A9235D" w:rsidRPr="007D569B" w:rsidRDefault="00A9235D" w:rsidP="00A9235D">
      <w:pPr>
        <w:spacing w:line="276" w:lineRule="auto"/>
        <w:rPr>
          <w:rFonts w:cstheme="minorHAnsi"/>
          <w:sz w:val="22"/>
          <w:szCs w:val="22"/>
        </w:rPr>
      </w:pPr>
      <w:r w:rsidRPr="007D569B">
        <w:rPr>
          <w:rFonts w:cstheme="minorHAnsi"/>
          <w:sz w:val="22"/>
          <w:szCs w:val="22"/>
        </w:rPr>
        <w:t xml:space="preserve">On the one hand, the CAO vindicates the communities’ concerns: that they suffered violence, intimidation and repression after this project </w:t>
      </w:r>
      <w:r>
        <w:rPr>
          <w:rFonts w:cstheme="minorHAnsi"/>
          <w:sz w:val="22"/>
          <w:szCs w:val="22"/>
        </w:rPr>
        <w:t>began</w:t>
      </w:r>
      <w:r w:rsidRPr="007D569B">
        <w:rPr>
          <w:rFonts w:cstheme="minorHAnsi"/>
          <w:sz w:val="22"/>
          <w:szCs w:val="22"/>
        </w:rPr>
        <w:t>, and that significant social impacts remain to this day; and also that the IFC failed in its duties and obligations to ensure that its investments did no harm</w:t>
      </w:r>
      <w:r w:rsidR="00023295">
        <w:rPr>
          <w:rFonts w:cstheme="minorHAnsi"/>
          <w:sz w:val="22"/>
          <w:szCs w:val="22"/>
        </w:rPr>
        <w:t>,</w:t>
      </w:r>
      <w:r w:rsidRPr="007D569B">
        <w:rPr>
          <w:rFonts w:cstheme="minorHAnsi"/>
          <w:sz w:val="22"/>
          <w:szCs w:val="22"/>
        </w:rPr>
        <w:t xml:space="preserve"> especially in the context of poor and vulnerable communities in a high risk, post-conflict context. </w:t>
      </w:r>
      <w:r w:rsidR="00023295">
        <w:rPr>
          <w:rFonts w:cstheme="minorHAnsi"/>
          <w:sz w:val="22"/>
          <w:szCs w:val="22"/>
        </w:rPr>
        <w:t>On the other hand, however, t</w:t>
      </w:r>
      <w:r w:rsidRPr="007D569B">
        <w:rPr>
          <w:rFonts w:cstheme="minorHAnsi"/>
          <w:sz w:val="22"/>
          <w:szCs w:val="22"/>
        </w:rPr>
        <w:t xml:space="preserve">he IFC takes a different view. Its response rests on four arguments: </w:t>
      </w:r>
    </w:p>
    <w:p w14:paraId="4AAEB0B2" w14:textId="65CCD281" w:rsidR="00A9235D" w:rsidRPr="007D569B" w:rsidRDefault="00A9235D" w:rsidP="00A9235D">
      <w:pPr>
        <w:pStyle w:val="ListParagraph"/>
        <w:numPr>
          <w:ilvl w:val="0"/>
          <w:numId w:val="11"/>
        </w:numPr>
        <w:spacing w:line="276" w:lineRule="auto"/>
        <w:rPr>
          <w:rFonts w:cstheme="minorHAnsi"/>
          <w:sz w:val="22"/>
          <w:szCs w:val="22"/>
        </w:rPr>
      </w:pPr>
      <w:r w:rsidRPr="007D569B">
        <w:rPr>
          <w:rFonts w:cstheme="minorHAnsi"/>
          <w:sz w:val="22"/>
          <w:szCs w:val="22"/>
        </w:rPr>
        <w:t xml:space="preserve">The first, that many of the issues raised by the CAO – for example, risk management and contextual risk analysis - </w:t>
      </w:r>
      <w:r w:rsidRPr="00BA0144">
        <w:rPr>
          <w:rFonts w:cstheme="minorHAnsi"/>
          <w:b/>
          <w:bCs/>
          <w:sz w:val="22"/>
          <w:szCs w:val="22"/>
        </w:rPr>
        <w:t>have been addressed by IFC in its reforms over the last 12 years</w:t>
      </w:r>
      <w:r w:rsidRPr="007D569B">
        <w:rPr>
          <w:rFonts w:cstheme="minorHAnsi"/>
          <w:sz w:val="22"/>
          <w:szCs w:val="22"/>
        </w:rPr>
        <w:t xml:space="preserve"> since project construction started. This is to some degree true – the IFC has indeed made significant </w:t>
      </w:r>
      <w:r>
        <w:rPr>
          <w:rFonts w:cstheme="minorHAnsi"/>
          <w:sz w:val="22"/>
          <w:szCs w:val="22"/>
        </w:rPr>
        <w:t xml:space="preserve">and much-needed </w:t>
      </w:r>
      <w:r w:rsidRPr="007D569B">
        <w:rPr>
          <w:rFonts w:cstheme="minorHAnsi"/>
          <w:sz w:val="22"/>
          <w:szCs w:val="22"/>
        </w:rPr>
        <w:t xml:space="preserve">reforms to its financial intermediary lending. But these reforms come too late </w:t>
      </w:r>
      <w:r>
        <w:rPr>
          <w:rFonts w:cstheme="minorHAnsi"/>
          <w:sz w:val="22"/>
          <w:szCs w:val="22"/>
        </w:rPr>
        <w:t xml:space="preserve">to </w:t>
      </w:r>
      <w:r w:rsidRPr="007D569B">
        <w:rPr>
          <w:rFonts w:cstheme="minorHAnsi"/>
          <w:sz w:val="22"/>
          <w:szCs w:val="22"/>
        </w:rPr>
        <w:t>address the harms suffered by the communities of Santa Cruz Barillas.</w:t>
      </w:r>
    </w:p>
    <w:p w14:paraId="2ABD7A1A" w14:textId="11870C0C" w:rsidR="00A9235D" w:rsidRPr="007D569B" w:rsidRDefault="00A9235D" w:rsidP="00A9235D">
      <w:pPr>
        <w:pStyle w:val="ListParagraph"/>
        <w:numPr>
          <w:ilvl w:val="0"/>
          <w:numId w:val="11"/>
        </w:numPr>
        <w:spacing w:line="276" w:lineRule="auto"/>
        <w:rPr>
          <w:rFonts w:cstheme="minorHAnsi"/>
          <w:sz w:val="22"/>
          <w:szCs w:val="22"/>
        </w:rPr>
      </w:pPr>
      <w:r w:rsidRPr="007D569B">
        <w:rPr>
          <w:rFonts w:cstheme="minorHAnsi"/>
          <w:sz w:val="22"/>
          <w:szCs w:val="22"/>
        </w:rPr>
        <w:t xml:space="preserve">The second, that this was an </w:t>
      </w:r>
      <w:r w:rsidRPr="007D569B">
        <w:rPr>
          <w:rFonts w:cstheme="minorHAnsi"/>
          <w:i/>
          <w:iCs/>
          <w:sz w:val="22"/>
          <w:szCs w:val="22"/>
        </w:rPr>
        <w:t>indirect investment</w:t>
      </w:r>
      <w:r w:rsidRPr="007D569B">
        <w:rPr>
          <w:rFonts w:cstheme="minorHAnsi"/>
          <w:sz w:val="22"/>
          <w:szCs w:val="22"/>
        </w:rPr>
        <w:t xml:space="preserve">, so </w:t>
      </w:r>
      <w:r w:rsidRPr="00BA0144">
        <w:rPr>
          <w:rFonts w:cstheme="minorHAnsi"/>
          <w:b/>
          <w:bCs/>
          <w:sz w:val="22"/>
          <w:szCs w:val="22"/>
        </w:rPr>
        <w:t>IFC cannot be expected to respond in the same way it would to a direct investment</w:t>
      </w:r>
      <w:r w:rsidRPr="007D569B">
        <w:rPr>
          <w:rFonts w:cstheme="minorHAnsi"/>
          <w:sz w:val="22"/>
          <w:szCs w:val="22"/>
        </w:rPr>
        <w:t>. CAO claim</w:t>
      </w:r>
      <w:r w:rsidR="005A2892">
        <w:rPr>
          <w:rFonts w:cstheme="minorHAnsi"/>
          <w:sz w:val="22"/>
          <w:szCs w:val="22"/>
        </w:rPr>
        <w:t>s</w:t>
      </w:r>
      <w:r w:rsidRPr="007D569B">
        <w:rPr>
          <w:rFonts w:cstheme="minorHAnsi"/>
          <w:sz w:val="22"/>
          <w:szCs w:val="22"/>
        </w:rPr>
        <w:t xml:space="preserve"> that when CIFI filed a serious incident report to IFC, following the fatal shooting of local peasant Andrés Pedro Miguel, IFC failed to respond or follow through</w:t>
      </w:r>
      <w:r>
        <w:rPr>
          <w:rFonts w:cstheme="minorHAnsi"/>
          <w:sz w:val="22"/>
          <w:szCs w:val="22"/>
        </w:rPr>
        <w:t>,</w:t>
      </w:r>
      <w:r w:rsidRPr="007D569B">
        <w:rPr>
          <w:rFonts w:cstheme="minorHAnsi"/>
          <w:sz w:val="22"/>
          <w:szCs w:val="22"/>
        </w:rPr>
        <w:t xml:space="preserve"> though it had a duty to do so. </w:t>
      </w:r>
      <w:r w:rsidR="005A2892">
        <w:rPr>
          <w:rFonts w:cstheme="minorHAnsi"/>
          <w:sz w:val="22"/>
          <w:szCs w:val="22"/>
        </w:rPr>
        <w:t xml:space="preserve">In response, </w:t>
      </w:r>
      <w:r w:rsidRPr="007D569B">
        <w:rPr>
          <w:rFonts w:cstheme="minorHAnsi"/>
          <w:sz w:val="22"/>
          <w:szCs w:val="22"/>
        </w:rPr>
        <w:t xml:space="preserve">IFC argues that this duty to respond only applied to its </w:t>
      </w:r>
      <w:r w:rsidRPr="007D569B">
        <w:rPr>
          <w:rFonts w:cstheme="minorHAnsi"/>
          <w:i/>
          <w:iCs/>
          <w:sz w:val="22"/>
          <w:szCs w:val="22"/>
        </w:rPr>
        <w:t>direct</w:t>
      </w:r>
      <w:r w:rsidRPr="007D569B">
        <w:rPr>
          <w:rFonts w:cstheme="minorHAnsi"/>
          <w:sz w:val="22"/>
          <w:szCs w:val="22"/>
        </w:rPr>
        <w:t xml:space="preserve"> investments, and in this case, it believes its client responded effectively. This is cold comfort to community members whose partners were </w:t>
      </w:r>
      <w:r>
        <w:rPr>
          <w:rFonts w:cstheme="minorHAnsi"/>
          <w:sz w:val="22"/>
          <w:szCs w:val="22"/>
        </w:rPr>
        <w:t xml:space="preserve">injured and </w:t>
      </w:r>
      <w:r w:rsidRPr="007D569B">
        <w:rPr>
          <w:rFonts w:cstheme="minorHAnsi"/>
          <w:sz w:val="22"/>
          <w:szCs w:val="22"/>
        </w:rPr>
        <w:t xml:space="preserve">imprisoned </w:t>
      </w:r>
      <w:r>
        <w:rPr>
          <w:rFonts w:cstheme="minorHAnsi"/>
          <w:sz w:val="22"/>
          <w:szCs w:val="22"/>
        </w:rPr>
        <w:t>or who</w:t>
      </w:r>
      <w:r w:rsidRPr="007D569B">
        <w:rPr>
          <w:rFonts w:cstheme="minorHAnsi"/>
          <w:sz w:val="22"/>
          <w:szCs w:val="22"/>
        </w:rPr>
        <w:t xml:space="preserve"> suffer ongoing health issues.</w:t>
      </w:r>
    </w:p>
    <w:p w14:paraId="4201FE54" w14:textId="77777777" w:rsidR="00A9235D" w:rsidRPr="007D569B" w:rsidRDefault="00A9235D" w:rsidP="00A9235D">
      <w:pPr>
        <w:pStyle w:val="ListParagraph"/>
        <w:numPr>
          <w:ilvl w:val="0"/>
          <w:numId w:val="11"/>
        </w:numPr>
        <w:spacing w:line="276" w:lineRule="auto"/>
        <w:rPr>
          <w:rFonts w:cstheme="minorHAnsi"/>
          <w:sz w:val="22"/>
          <w:szCs w:val="22"/>
        </w:rPr>
      </w:pPr>
      <w:r w:rsidRPr="007D569B">
        <w:rPr>
          <w:rFonts w:cstheme="minorHAnsi"/>
          <w:sz w:val="22"/>
          <w:szCs w:val="22"/>
        </w:rPr>
        <w:t xml:space="preserve">The third argument is that in future, </w:t>
      </w:r>
      <w:r w:rsidRPr="00CB0709">
        <w:rPr>
          <w:rFonts w:cstheme="minorHAnsi"/>
          <w:b/>
          <w:bCs/>
          <w:sz w:val="22"/>
          <w:szCs w:val="22"/>
        </w:rPr>
        <w:t>IFC will learn lessons in terms of responding to serious incidents, and how to exit investments responsibly</w:t>
      </w:r>
      <w:r w:rsidRPr="007D569B">
        <w:rPr>
          <w:rFonts w:cstheme="minorHAnsi"/>
          <w:sz w:val="22"/>
          <w:szCs w:val="22"/>
        </w:rPr>
        <w:t xml:space="preserve">. This is welcome and will perhaps help in addressing problems encountered in future projects. Systemic reforms based on lessons learned are fundamentally important in avoiding repeating the same mistakes over and over. But future learning of lessons does not address the impacts suffered and still being suffered by communities affected by the </w:t>
      </w:r>
      <w:proofErr w:type="spellStart"/>
      <w:r w:rsidRPr="007D569B">
        <w:rPr>
          <w:rFonts w:cstheme="minorHAnsi"/>
          <w:sz w:val="22"/>
          <w:szCs w:val="22"/>
        </w:rPr>
        <w:t>Canbalam</w:t>
      </w:r>
      <w:proofErr w:type="spellEnd"/>
      <w:r w:rsidRPr="007D569B">
        <w:rPr>
          <w:rFonts w:cstheme="minorHAnsi"/>
          <w:sz w:val="22"/>
          <w:szCs w:val="22"/>
        </w:rPr>
        <w:t xml:space="preserve"> </w:t>
      </w:r>
      <w:r>
        <w:rPr>
          <w:rFonts w:cstheme="minorHAnsi"/>
          <w:sz w:val="22"/>
          <w:szCs w:val="22"/>
        </w:rPr>
        <w:t>project</w:t>
      </w:r>
      <w:r w:rsidRPr="007D569B">
        <w:rPr>
          <w:rFonts w:cstheme="minorHAnsi"/>
          <w:sz w:val="22"/>
          <w:szCs w:val="22"/>
        </w:rPr>
        <w:t xml:space="preserve"> today.</w:t>
      </w:r>
    </w:p>
    <w:p w14:paraId="6186AFE9" w14:textId="04E5D6BE" w:rsidR="00A9235D" w:rsidRDefault="00A9235D" w:rsidP="00A9235D">
      <w:pPr>
        <w:pStyle w:val="Default"/>
        <w:numPr>
          <w:ilvl w:val="0"/>
          <w:numId w:val="11"/>
        </w:numPr>
        <w:spacing w:line="276" w:lineRule="auto"/>
        <w:rPr>
          <w:rFonts w:asciiTheme="minorHAnsi" w:hAnsiTheme="minorHAnsi" w:cstheme="minorHAnsi"/>
          <w:sz w:val="22"/>
          <w:szCs w:val="22"/>
        </w:rPr>
      </w:pPr>
      <w:r w:rsidRPr="007D569B">
        <w:rPr>
          <w:rFonts w:asciiTheme="minorHAnsi" w:hAnsiTheme="minorHAnsi" w:cstheme="minorHAnsi"/>
          <w:sz w:val="22"/>
          <w:szCs w:val="22"/>
        </w:rPr>
        <w:t xml:space="preserve">Which brings us to the </w:t>
      </w:r>
      <w:r w:rsidR="00585F42">
        <w:rPr>
          <w:rFonts w:asciiTheme="minorHAnsi" w:hAnsiTheme="minorHAnsi" w:cstheme="minorHAnsi"/>
          <w:sz w:val="22"/>
          <w:szCs w:val="22"/>
        </w:rPr>
        <w:t xml:space="preserve">IFC’s </w:t>
      </w:r>
      <w:r w:rsidRPr="007D569B">
        <w:rPr>
          <w:rFonts w:asciiTheme="minorHAnsi" w:hAnsiTheme="minorHAnsi" w:cstheme="minorHAnsi"/>
          <w:sz w:val="22"/>
          <w:szCs w:val="22"/>
        </w:rPr>
        <w:t>f</w:t>
      </w:r>
      <w:r w:rsidR="00585F42">
        <w:rPr>
          <w:rFonts w:asciiTheme="minorHAnsi" w:hAnsiTheme="minorHAnsi" w:cstheme="minorHAnsi"/>
          <w:sz w:val="22"/>
          <w:szCs w:val="22"/>
        </w:rPr>
        <w:t>inal</w:t>
      </w:r>
      <w:r w:rsidRPr="007D569B">
        <w:rPr>
          <w:rFonts w:asciiTheme="minorHAnsi" w:hAnsiTheme="minorHAnsi" w:cstheme="minorHAnsi"/>
          <w:sz w:val="22"/>
          <w:szCs w:val="22"/>
        </w:rPr>
        <w:t xml:space="preserve"> argument: that </w:t>
      </w:r>
      <w:r w:rsidRPr="003E5B1F">
        <w:rPr>
          <w:rFonts w:asciiTheme="minorHAnsi" w:hAnsiTheme="minorHAnsi" w:cstheme="minorHAnsi"/>
          <w:b/>
          <w:bCs/>
          <w:sz w:val="22"/>
          <w:szCs w:val="22"/>
        </w:rPr>
        <w:t xml:space="preserve">the </w:t>
      </w:r>
      <w:proofErr w:type="spellStart"/>
      <w:r w:rsidRPr="003E5B1F">
        <w:rPr>
          <w:rFonts w:asciiTheme="minorHAnsi" w:hAnsiTheme="minorHAnsi" w:cstheme="minorHAnsi"/>
          <w:b/>
          <w:bCs/>
          <w:sz w:val="22"/>
          <w:szCs w:val="22"/>
        </w:rPr>
        <w:t>Canbalam</w:t>
      </w:r>
      <w:proofErr w:type="spellEnd"/>
      <w:r w:rsidRPr="003E5B1F">
        <w:rPr>
          <w:rFonts w:asciiTheme="minorHAnsi" w:hAnsiTheme="minorHAnsi" w:cstheme="minorHAnsi"/>
          <w:b/>
          <w:bCs/>
          <w:sz w:val="22"/>
          <w:szCs w:val="22"/>
        </w:rPr>
        <w:t xml:space="preserve"> project is not responsible for the terror, violence and repression that convulsed communities around the project site </w:t>
      </w:r>
      <w:r>
        <w:rPr>
          <w:rFonts w:asciiTheme="minorHAnsi" w:hAnsiTheme="minorHAnsi" w:cstheme="minorHAnsi"/>
          <w:b/>
          <w:bCs/>
          <w:sz w:val="22"/>
          <w:szCs w:val="22"/>
        </w:rPr>
        <w:t>from</w:t>
      </w:r>
      <w:r w:rsidRPr="003E5B1F">
        <w:rPr>
          <w:rFonts w:asciiTheme="minorHAnsi" w:hAnsiTheme="minorHAnsi" w:cstheme="minorHAnsi"/>
          <w:b/>
          <w:bCs/>
          <w:sz w:val="22"/>
          <w:szCs w:val="22"/>
        </w:rPr>
        <w:t xml:space="preserve"> 2012</w:t>
      </w:r>
      <w:r w:rsidRPr="007D569B">
        <w:rPr>
          <w:rFonts w:asciiTheme="minorHAnsi" w:hAnsiTheme="minorHAnsi" w:cstheme="minorHAnsi"/>
          <w:sz w:val="22"/>
          <w:szCs w:val="22"/>
        </w:rPr>
        <w:t xml:space="preserve">. </w:t>
      </w:r>
      <w:r>
        <w:rPr>
          <w:rStyle w:val="FootnoteReference"/>
          <w:rFonts w:asciiTheme="minorHAnsi" w:hAnsiTheme="minorHAnsi" w:cstheme="minorHAnsi"/>
          <w:sz w:val="22"/>
          <w:szCs w:val="22"/>
        </w:rPr>
        <w:footnoteReference w:id="14"/>
      </w:r>
      <w:r w:rsidR="00520514">
        <w:rPr>
          <w:rFonts w:asciiTheme="minorHAnsi" w:hAnsiTheme="minorHAnsi" w:cstheme="minorHAnsi"/>
          <w:sz w:val="22"/>
          <w:szCs w:val="22"/>
        </w:rPr>
        <w:t xml:space="preserve"> </w:t>
      </w:r>
      <w:r w:rsidRPr="007D569B">
        <w:rPr>
          <w:rFonts w:asciiTheme="minorHAnsi" w:hAnsiTheme="minorHAnsi" w:cstheme="minorHAnsi"/>
          <w:sz w:val="22"/>
          <w:szCs w:val="22"/>
        </w:rPr>
        <w:t xml:space="preserve">The IFC argues that there is nothing to link the project and the company building the dam </w:t>
      </w:r>
      <w:r>
        <w:rPr>
          <w:rFonts w:asciiTheme="minorHAnsi" w:hAnsiTheme="minorHAnsi" w:cstheme="minorHAnsi"/>
          <w:sz w:val="22"/>
          <w:szCs w:val="22"/>
        </w:rPr>
        <w:t>(</w:t>
      </w:r>
      <w:proofErr w:type="spellStart"/>
      <w:r>
        <w:rPr>
          <w:rFonts w:asciiTheme="minorHAnsi" w:hAnsiTheme="minorHAnsi" w:cstheme="minorHAnsi"/>
          <w:sz w:val="22"/>
          <w:szCs w:val="22"/>
        </w:rPr>
        <w:t>H</w:t>
      </w:r>
      <w:r w:rsidR="005A2892">
        <w:rPr>
          <w:rFonts w:asciiTheme="minorHAnsi" w:hAnsiTheme="minorHAnsi" w:cstheme="minorHAnsi"/>
          <w:sz w:val="22"/>
          <w:szCs w:val="22"/>
        </w:rPr>
        <w:t>idro</w:t>
      </w:r>
      <w:proofErr w:type="spellEnd"/>
      <w:r w:rsidR="005A2892">
        <w:rPr>
          <w:rFonts w:asciiTheme="minorHAnsi" w:hAnsiTheme="minorHAnsi" w:cstheme="minorHAnsi"/>
          <w:sz w:val="22"/>
          <w:szCs w:val="22"/>
        </w:rPr>
        <w:t xml:space="preserve"> </w:t>
      </w:r>
      <w:r>
        <w:rPr>
          <w:rFonts w:asciiTheme="minorHAnsi" w:hAnsiTheme="minorHAnsi" w:cstheme="minorHAnsi"/>
          <w:sz w:val="22"/>
          <w:szCs w:val="22"/>
        </w:rPr>
        <w:t>S</w:t>
      </w:r>
      <w:r w:rsidR="005A2892">
        <w:rPr>
          <w:rFonts w:asciiTheme="minorHAnsi" w:hAnsiTheme="minorHAnsi" w:cstheme="minorHAnsi"/>
          <w:sz w:val="22"/>
          <w:szCs w:val="22"/>
        </w:rPr>
        <w:t xml:space="preserve">anta </w:t>
      </w:r>
      <w:r>
        <w:rPr>
          <w:rFonts w:asciiTheme="minorHAnsi" w:hAnsiTheme="minorHAnsi" w:cstheme="minorHAnsi"/>
          <w:sz w:val="22"/>
          <w:szCs w:val="22"/>
        </w:rPr>
        <w:t>C</w:t>
      </w:r>
      <w:r w:rsidR="005A2892">
        <w:rPr>
          <w:rFonts w:asciiTheme="minorHAnsi" w:hAnsiTheme="minorHAnsi" w:cstheme="minorHAnsi"/>
          <w:sz w:val="22"/>
          <w:szCs w:val="22"/>
        </w:rPr>
        <w:t>ruz or HSC</w:t>
      </w:r>
      <w:r>
        <w:rPr>
          <w:rFonts w:asciiTheme="minorHAnsi" w:hAnsiTheme="minorHAnsi" w:cstheme="minorHAnsi"/>
          <w:sz w:val="22"/>
          <w:szCs w:val="22"/>
        </w:rPr>
        <w:t xml:space="preserve">) </w:t>
      </w:r>
      <w:r w:rsidRPr="007D569B">
        <w:rPr>
          <w:rFonts w:asciiTheme="minorHAnsi" w:hAnsiTheme="minorHAnsi" w:cstheme="minorHAnsi"/>
          <w:sz w:val="22"/>
          <w:szCs w:val="22"/>
        </w:rPr>
        <w:t xml:space="preserve">with the upsurge in repression and the state of siege declared by the Guatemalan government in May 2012. This last argument is insulting </w:t>
      </w:r>
      <w:r w:rsidR="008E19BF">
        <w:rPr>
          <w:rFonts w:asciiTheme="minorHAnsi" w:hAnsiTheme="minorHAnsi" w:cstheme="minorHAnsi"/>
          <w:sz w:val="22"/>
          <w:szCs w:val="22"/>
        </w:rPr>
        <w:t xml:space="preserve">to the affected communities </w:t>
      </w:r>
      <w:r w:rsidRPr="007D569B">
        <w:rPr>
          <w:rFonts w:asciiTheme="minorHAnsi" w:hAnsiTheme="minorHAnsi" w:cstheme="minorHAnsi"/>
          <w:sz w:val="22"/>
          <w:szCs w:val="22"/>
        </w:rPr>
        <w:t xml:space="preserve">and frankly absurd. By denying this link, IFC can wash its hands of any responsibility for the suffering of local communities then and now – and therefore refuse to do anything about it in its response. </w:t>
      </w:r>
    </w:p>
    <w:p w14:paraId="07175DDB" w14:textId="77777777" w:rsidR="00A9235D" w:rsidRDefault="00A9235D" w:rsidP="00A9235D">
      <w:pPr>
        <w:pStyle w:val="Default"/>
        <w:spacing w:line="276" w:lineRule="auto"/>
        <w:ind w:left="720"/>
        <w:rPr>
          <w:rFonts w:asciiTheme="minorHAnsi" w:hAnsiTheme="minorHAnsi" w:cstheme="minorHAnsi"/>
          <w:sz w:val="22"/>
          <w:szCs w:val="22"/>
        </w:rPr>
      </w:pPr>
    </w:p>
    <w:p w14:paraId="267856BA" w14:textId="444F6887" w:rsidR="00A9235D" w:rsidRPr="007D569B" w:rsidRDefault="00A9235D" w:rsidP="00A9235D">
      <w:pPr>
        <w:pStyle w:val="Default"/>
        <w:spacing w:line="276" w:lineRule="auto"/>
        <w:ind w:left="720"/>
        <w:rPr>
          <w:rFonts w:asciiTheme="minorHAnsi" w:hAnsiTheme="minorHAnsi" w:cstheme="minorHAnsi"/>
          <w:sz w:val="22"/>
          <w:szCs w:val="22"/>
        </w:rPr>
      </w:pPr>
      <w:r>
        <w:rPr>
          <w:rFonts w:asciiTheme="minorHAnsi" w:hAnsiTheme="minorHAnsi" w:cstheme="minorHAnsi"/>
          <w:sz w:val="22"/>
          <w:szCs w:val="22"/>
        </w:rPr>
        <w:t>In</w:t>
      </w:r>
      <w:r w:rsidRPr="007D569B">
        <w:rPr>
          <w:rFonts w:asciiTheme="minorHAnsi" w:hAnsiTheme="minorHAnsi" w:cstheme="minorHAnsi"/>
          <w:sz w:val="22"/>
          <w:szCs w:val="22"/>
        </w:rPr>
        <w:t xml:space="preserve"> denying that the project is associated with the violence and repression that was visited on local communities, the IFC relies on a </w:t>
      </w:r>
      <w:r w:rsidR="006E4828">
        <w:rPr>
          <w:rFonts w:asciiTheme="minorHAnsi" w:hAnsiTheme="minorHAnsi" w:cstheme="minorHAnsi"/>
          <w:sz w:val="22"/>
          <w:szCs w:val="22"/>
        </w:rPr>
        <w:t xml:space="preserve">2013 </w:t>
      </w:r>
      <w:r w:rsidRPr="007D569B">
        <w:rPr>
          <w:rFonts w:asciiTheme="minorHAnsi" w:hAnsiTheme="minorHAnsi" w:cstheme="minorHAnsi"/>
          <w:sz w:val="22"/>
          <w:szCs w:val="22"/>
        </w:rPr>
        <w:t xml:space="preserve">report </w:t>
      </w:r>
      <w:r w:rsidR="006E4828">
        <w:rPr>
          <w:rFonts w:asciiTheme="minorHAnsi" w:hAnsiTheme="minorHAnsi" w:cstheme="minorHAnsi"/>
          <w:sz w:val="22"/>
          <w:szCs w:val="22"/>
        </w:rPr>
        <w:t xml:space="preserve">on Guatemala </w:t>
      </w:r>
      <w:r w:rsidRPr="007D569B">
        <w:rPr>
          <w:rFonts w:asciiTheme="minorHAnsi" w:hAnsiTheme="minorHAnsi" w:cstheme="minorHAnsi"/>
          <w:sz w:val="22"/>
          <w:szCs w:val="22"/>
        </w:rPr>
        <w:t>by the United Nations</w:t>
      </w:r>
      <w:r w:rsidR="00520514">
        <w:rPr>
          <w:rFonts w:asciiTheme="minorHAnsi" w:hAnsiTheme="minorHAnsi" w:cstheme="minorHAnsi"/>
          <w:sz w:val="22"/>
          <w:szCs w:val="22"/>
        </w:rPr>
        <w:t xml:space="preserve"> (UN)</w:t>
      </w:r>
      <w:r w:rsidRPr="007D569B">
        <w:rPr>
          <w:rFonts w:asciiTheme="minorHAnsi" w:hAnsiTheme="minorHAnsi" w:cstheme="minorHAnsi"/>
          <w:sz w:val="22"/>
          <w:szCs w:val="22"/>
        </w:rPr>
        <w:t xml:space="preserve"> High </w:t>
      </w:r>
      <w:r w:rsidRPr="007D569B">
        <w:rPr>
          <w:rFonts w:asciiTheme="minorHAnsi" w:hAnsiTheme="minorHAnsi" w:cstheme="minorHAnsi"/>
          <w:sz w:val="22"/>
          <w:szCs w:val="22"/>
        </w:rPr>
        <w:lastRenderedPageBreak/>
        <w:t>Commission</w:t>
      </w:r>
      <w:r>
        <w:rPr>
          <w:rFonts w:asciiTheme="minorHAnsi" w:hAnsiTheme="minorHAnsi" w:cstheme="minorHAnsi"/>
          <w:sz w:val="22"/>
          <w:szCs w:val="22"/>
        </w:rPr>
        <w:t>er for</w:t>
      </w:r>
      <w:r w:rsidRPr="007D569B">
        <w:rPr>
          <w:rFonts w:asciiTheme="minorHAnsi" w:hAnsiTheme="minorHAnsi" w:cstheme="minorHAnsi"/>
          <w:sz w:val="22"/>
          <w:szCs w:val="22"/>
        </w:rPr>
        <w:t xml:space="preserve"> Human Rights.</w:t>
      </w:r>
      <w:r w:rsidR="006E4828">
        <w:rPr>
          <w:rStyle w:val="FootnoteReference"/>
          <w:rFonts w:asciiTheme="minorHAnsi" w:hAnsiTheme="minorHAnsi" w:cstheme="minorHAnsi"/>
          <w:sz w:val="22"/>
          <w:szCs w:val="22"/>
        </w:rPr>
        <w:footnoteReference w:id="15"/>
      </w:r>
      <w:r w:rsidRPr="007D569B">
        <w:rPr>
          <w:rFonts w:asciiTheme="minorHAnsi" w:hAnsiTheme="minorHAnsi" w:cstheme="minorHAnsi"/>
          <w:sz w:val="22"/>
          <w:szCs w:val="22"/>
        </w:rPr>
        <w:t xml:space="preserve"> IFC </w:t>
      </w:r>
      <w:r w:rsidR="00520514">
        <w:rPr>
          <w:rFonts w:asciiTheme="minorHAnsi" w:hAnsiTheme="minorHAnsi" w:cstheme="minorHAnsi"/>
          <w:sz w:val="22"/>
          <w:szCs w:val="22"/>
        </w:rPr>
        <w:t>quotes the UN</w:t>
      </w:r>
      <w:r w:rsidR="00520514" w:rsidRPr="007D569B">
        <w:rPr>
          <w:rFonts w:asciiTheme="minorHAnsi" w:hAnsiTheme="minorHAnsi" w:cstheme="minorHAnsi"/>
          <w:sz w:val="22"/>
          <w:szCs w:val="22"/>
        </w:rPr>
        <w:t xml:space="preserve"> </w:t>
      </w:r>
      <w:r w:rsidRPr="007D569B">
        <w:rPr>
          <w:rFonts w:asciiTheme="minorHAnsi" w:hAnsiTheme="minorHAnsi" w:cstheme="minorHAnsi"/>
          <w:sz w:val="22"/>
          <w:szCs w:val="22"/>
        </w:rPr>
        <w:t>several times in its defence: “</w:t>
      </w:r>
      <w:r w:rsidRPr="00905B85">
        <w:rPr>
          <w:rFonts w:asciiTheme="minorHAnsi" w:hAnsiTheme="minorHAnsi" w:cstheme="minorHAnsi"/>
          <w:i/>
          <w:iCs/>
          <w:sz w:val="22"/>
          <w:szCs w:val="22"/>
        </w:rPr>
        <w:t>The United Nations investigations did not identify HSC as responsible for any abuses”</w:t>
      </w:r>
      <w:r w:rsidRPr="007D569B">
        <w:rPr>
          <w:rFonts w:asciiTheme="minorHAnsi" w:hAnsiTheme="minorHAnsi" w:cstheme="minorHAnsi"/>
          <w:sz w:val="22"/>
          <w:szCs w:val="22"/>
        </w:rPr>
        <w:t xml:space="preserve"> </w:t>
      </w:r>
      <w:r w:rsidR="00A77B0A">
        <w:rPr>
          <w:rFonts w:asciiTheme="minorHAnsi" w:hAnsiTheme="minorHAnsi" w:cstheme="minorHAnsi"/>
          <w:sz w:val="22"/>
          <w:szCs w:val="22"/>
        </w:rPr>
        <w:t>a</w:t>
      </w:r>
      <w:r w:rsidRPr="007D569B">
        <w:rPr>
          <w:rFonts w:asciiTheme="minorHAnsi" w:hAnsiTheme="minorHAnsi" w:cstheme="minorHAnsi"/>
          <w:sz w:val="22"/>
          <w:szCs w:val="22"/>
        </w:rPr>
        <w:t xml:space="preserve">nd </w:t>
      </w:r>
      <w:r w:rsidRPr="00905B85">
        <w:rPr>
          <w:rFonts w:asciiTheme="minorHAnsi" w:hAnsiTheme="minorHAnsi" w:cstheme="minorHAnsi"/>
          <w:i/>
          <w:iCs/>
          <w:sz w:val="22"/>
          <w:szCs w:val="22"/>
        </w:rPr>
        <w:t>“The United Nations review did not identify HSC as a responsible party.”</w:t>
      </w:r>
      <w:r w:rsidRPr="007D569B">
        <w:rPr>
          <w:rFonts w:asciiTheme="minorHAnsi" w:hAnsiTheme="minorHAnsi" w:cstheme="minorHAnsi"/>
          <w:sz w:val="22"/>
          <w:szCs w:val="22"/>
        </w:rPr>
        <w:t xml:space="preserve"> Presumably, the United Nations report to which the IFC re</w:t>
      </w:r>
      <w:r>
        <w:rPr>
          <w:rFonts w:asciiTheme="minorHAnsi" w:hAnsiTheme="minorHAnsi" w:cstheme="minorHAnsi"/>
          <w:sz w:val="22"/>
          <w:szCs w:val="22"/>
        </w:rPr>
        <w:t>fers</w:t>
      </w:r>
      <w:r w:rsidRPr="007D569B">
        <w:rPr>
          <w:rFonts w:asciiTheme="minorHAnsi" w:hAnsiTheme="minorHAnsi" w:cstheme="minorHAnsi"/>
          <w:sz w:val="22"/>
          <w:szCs w:val="22"/>
        </w:rPr>
        <w:t xml:space="preserve"> comprised an in-depth investigation by the UN of the causes of the violence in Barillas</w:t>
      </w:r>
      <w:r>
        <w:rPr>
          <w:rFonts w:asciiTheme="minorHAnsi" w:hAnsiTheme="minorHAnsi" w:cstheme="minorHAnsi"/>
          <w:sz w:val="22"/>
          <w:szCs w:val="22"/>
        </w:rPr>
        <w:t xml:space="preserve">? </w:t>
      </w:r>
      <w:r w:rsidRPr="007D569B">
        <w:rPr>
          <w:rFonts w:asciiTheme="minorHAnsi" w:hAnsiTheme="minorHAnsi" w:cstheme="minorHAnsi"/>
          <w:sz w:val="22"/>
          <w:szCs w:val="22"/>
        </w:rPr>
        <w:t>On the contrary: the UN report in fact highlights instances of human rights abuses in Guatemala, including in Barillas</w:t>
      </w:r>
      <w:r w:rsidR="00A77B0A">
        <w:rPr>
          <w:rFonts w:asciiTheme="minorHAnsi" w:hAnsiTheme="minorHAnsi" w:cstheme="minorHAnsi"/>
          <w:sz w:val="22"/>
          <w:szCs w:val="22"/>
        </w:rPr>
        <w:t>;</w:t>
      </w:r>
      <w:r w:rsidRPr="007D569B">
        <w:rPr>
          <w:rFonts w:asciiTheme="minorHAnsi" w:hAnsiTheme="minorHAnsi" w:cstheme="minorHAnsi"/>
          <w:sz w:val="22"/>
          <w:szCs w:val="22"/>
        </w:rPr>
        <w:t xml:space="preserve"> expresses concern over the impacts on indigenous peoples</w:t>
      </w:r>
      <w:r w:rsidR="00A77B0A">
        <w:rPr>
          <w:rFonts w:asciiTheme="minorHAnsi" w:hAnsiTheme="minorHAnsi" w:cstheme="minorHAnsi"/>
          <w:sz w:val="22"/>
          <w:szCs w:val="22"/>
        </w:rPr>
        <w:t>;</w:t>
      </w:r>
      <w:r w:rsidRPr="007D569B">
        <w:rPr>
          <w:rFonts w:asciiTheme="minorHAnsi" w:hAnsiTheme="minorHAnsi" w:cstheme="minorHAnsi"/>
          <w:sz w:val="22"/>
          <w:szCs w:val="22"/>
        </w:rPr>
        <w:t xml:space="preserve"> calls for the actions of non-state actors including companies to be investigated</w:t>
      </w:r>
      <w:r w:rsidR="00A77B0A">
        <w:rPr>
          <w:rFonts w:asciiTheme="minorHAnsi" w:hAnsiTheme="minorHAnsi" w:cstheme="minorHAnsi"/>
          <w:sz w:val="22"/>
          <w:szCs w:val="22"/>
        </w:rPr>
        <w:t>;</w:t>
      </w:r>
      <w:r w:rsidRPr="007D569B">
        <w:rPr>
          <w:rFonts w:asciiTheme="minorHAnsi" w:hAnsiTheme="minorHAnsi" w:cstheme="minorHAnsi"/>
          <w:sz w:val="22"/>
          <w:szCs w:val="22"/>
        </w:rPr>
        <w:t xml:space="preserve"> and appeals to companies to respect the right</w:t>
      </w:r>
      <w:r>
        <w:rPr>
          <w:rFonts w:asciiTheme="minorHAnsi" w:hAnsiTheme="minorHAnsi" w:cstheme="minorHAnsi"/>
          <w:sz w:val="22"/>
          <w:szCs w:val="22"/>
        </w:rPr>
        <w:t>s</w:t>
      </w:r>
      <w:r w:rsidRPr="007D569B">
        <w:rPr>
          <w:rFonts w:asciiTheme="minorHAnsi" w:hAnsiTheme="minorHAnsi" w:cstheme="minorHAnsi"/>
          <w:sz w:val="22"/>
          <w:szCs w:val="22"/>
        </w:rPr>
        <w:t xml:space="preserve"> of indigenous peoples.</w:t>
      </w:r>
      <w:r w:rsidRPr="007D569B">
        <w:rPr>
          <w:rStyle w:val="FootnoteReference"/>
          <w:rFonts w:asciiTheme="minorHAnsi" w:hAnsiTheme="minorHAnsi" w:cstheme="minorHAnsi"/>
          <w:sz w:val="22"/>
          <w:szCs w:val="22"/>
        </w:rPr>
        <w:footnoteReference w:id="16"/>
      </w:r>
      <w:r w:rsidRPr="007D569B">
        <w:rPr>
          <w:rFonts w:asciiTheme="minorHAnsi" w:hAnsiTheme="minorHAnsi" w:cstheme="minorHAnsi"/>
          <w:sz w:val="22"/>
          <w:szCs w:val="22"/>
        </w:rPr>
        <w:t xml:space="preserve"> </w:t>
      </w:r>
      <w:r w:rsidRPr="00E65A67">
        <w:rPr>
          <w:rFonts w:asciiTheme="minorHAnsi" w:hAnsiTheme="minorHAnsi" w:cstheme="minorHAnsi"/>
          <w:b/>
          <w:bCs/>
          <w:sz w:val="22"/>
          <w:szCs w:val="22"/>
        </w:rPr>
        <w:t xml:space="preserve">The UN report never set out to investigate the role of HSC in the abuses suffered by local people, but does draw attention to their plight. </w:t>
      </w:r>
      <w:r>
        <w:rPr>
          <w:rFonts w:asciiTheme="minorHAnsi" w:hAnsiTheme="minorHAnsi" w:cstheme="minorHAnsi"/>
          <w:b/>
          <w:bCs/>
          <w:sz w:val="22"/>
          <w:szCs w:val="22"/>
        </w:rPr>
        <w:t>By using</w:t>
      </w:r>
      <w:r w:rsidRPr="00E65A67">
        <w:rPr>
          <w:rFonts w:asciiTheme="minorHAnsi" w:hAnsiTheme="minorHAnsi" w:cstheme="minorHAnsi"/>
          <w:b/>
          <w:bCs/>
          <w:sz w:val="22"/>
          <w:szCs w:val="22"/>
        </w:rPr>
        <w:t xml:space="preserve"> that report as a means of exculpating HSC and by extension itself, the IFC is stooping to a new low.</w:t>
      </w:r>
    </w:p>
    <w:p w14:paraId="2E490295" w14:textId="77777777" w:rsidR="00A9235D" w:rsidRPr="007D569B" w:rsidRDefault="00A9235D" w:rsidP="007D569B">
      <w:pPr>
        <w:spacing w:line="276" w:lineRule="auto"/>
        <w:rPr>
          <w:rFonts w:cstheme="minorHAnsi"/>
          <w:sz w:val="22"/>
          <w:szCs w:val="22"/>
        </w:rPr>
      </w:pPr>
    </w:p>
    <w:p w14:paraId="7CE3D6BD" w14:textId="5A4E05A2" w:rsidR="007A215C" w:rsidRPr="007D569B" w:rsidRDefault="007A215C" w:rsidP="007D569B">
      <w:pPr>
        <w:spacing w:line="276" w:lineRule="auto"/>
        <w:rPr>
          <w:rFonts w:cstheme="minorHAnsi"/>
          <w:b/>
          <w:bCs/>
          <w:color w:val="4472C4" w:themeColor="accent1"/>
          <w:sz w:val="22"/>
          <w:szCs w:val="22"/>
        </w:rPr>
      </w:pPr>
      <w:r w:rsidRPr="007D569B">
        <w:rPr>
          <w:rFonts w:cstheme="minorHAnsi"/>
          <w:b/>
          <w:bCs/>
          <w:color w:val="4472C4" w:themeColor="accent1"/>
          <w:sz w:val="22"/>
          <w:szCs w:val="22"/>
        </w:rPr>
        <w:t>Residual harm</w:t>
      </w:r>
    </w:p>
    <w:p w14:paraId="1A9EAF81" w14:textId="045F96F6" w:rsidR="00045508" w:rsidRPr="007D569B" w:rsidRDefault="00A422AE" w:rsidP="007D569B">
      <w:pPr>
        <w:spacing w:line="276" w:lineRule="auto"/>
        <w:rPr>
          <w:rFonts w:cstheme="minorHAnsi"/>
          <w:sz w:val="22"/>
          <w:szCs w:val="22"/>
        </w:rPr>
      </w:pPr>
      <w:r w:rsidRPr="007D569B">
        <w:rPr>
          <w:rFonts w:cstheme="minorHAnsi"/>
          <w:sz w:val="22"/>
          <w:szCs w:val="22"/>
        </w:rPr>
        <w:t xml:space="preserve">CAO points out that although the project was abandoned in </w:t>
      </w:r>
      <w:r w:rsidR="00045508" w:rsidRPr="007D569B">
        <w:rPr>
          <w:rFonts w:cstheme="minorHAnsi"/>
          <w:sz w:val="22"/>
          <w:szCs w:val="22"/>
        </w:rPr>
        <w:t xml:space="preserve">December 2016, </w:t>
      </w:r>
      <w:r w:rsidRPr="007D569B">
        <w:rPr>
          <w:rFonts w:cstheme="minorHAnsi"/>
          <w:b/>
          <w:bCs/>
          <w:sz w:val="22"/>
          <w:szCs w:val="22"/>
        </w:rPr>
        <w:t>“</w:t>
      </w:r>
      <w:r w:rsidR="00045508" w:rsidRPr="007D569B">
        <w:rPr>
          <w:rFonts w:cstheme="minorHAnsi"/>
          <w:b/>
          <w:bCs/>
          <w:sz w:val="22"/>
          <w:szCs w:val="22"/>
        </w:rPr>
        <w:t>available evidence supports the complainants’ assertion that residual impacts remain.</w:t>
      </w:r>
      <w:r w:rsidRPr="007D569B">
        <w:rPr>
          <w:rFonts w:cstheme="minorHAnsi"/>
          <w:b/>
          <w:bCs/>
          <w:sz w:val="22"/>
          <w:szCs w:val="22"/>
        </w:rPr>
        <w:t>”</w:t>
      </w:r>
      <w:r w:rsidR="00C556C7" w:rsidRPr="007D569B">
        <w:rPr>
          <w:rStyle w:val="FootnoteReference"/>
          <w:rFonts w:cstheme="minorHAnsi"/>
          <w:b/>
          <w:bCs/>
          <w:sz w:val="22"/>
          <w:szCs w:val="22"/>
        </w:rPr>
        <w:footnoteReference w:id="17"/>
      </w:r>
      <w:r w:rsidRPr="007D569B">
        <w:rPr>
          <w:rFonts w:cstheme="minorHAnsi"/>
          <w:sz w:val="22"/>
          <w:szCs w:val="22"/>
        </w:rPr>
        <w:t xml:space="preserve"> Local communities have continued to call for justice and for the impacts of the project on their communities to be remedied.</w:t>
      </w:r>
      <w:r w:rsidR="006F08B2" w:rsidRPr="007D569B">
        <w:rPr>
          <w:rFonts w:cstheme="minorHAnsi"/>
          <w:sz w:val="22"/>
          <w:szCs w:val="22"/>
        </w:rPr>
        <w:t xml:space="preserve"> In particular, the violent and repressive response to the protests against the project continue</w:t>
      </w:r>
      <w:r w:rsidR="00380912" w:rsidRPr="007D569B">
        <w:rPr>
          <w:rFonts w:cstheme="minorHAnsi"/>
          <w:sz w:val="22"/>
          <w:szCs w:val="22"/>
        </w:rPr>
        <w:t>s</w:t>
      </w:r>
      <w:r w:rsidR="006F08B2" w:rsidRPr="007D569B">
        <w:rPr>
          <w:rFonts w:cstheme="minorHAnsi"/>
          <w:sz w:val="22"/>
          <w:szCs w:val="22"/>
        </w:rPr>
        <w:t xml:space="preserve"> to traumatise communities today.</w:t>
      </w:r>
    </w:p>
    <w:p w14:paraId="380AB70E" w14:textId="3AB9CD26" w:rsidR="00333574" w:rsidRPr="007D569B" w:rsidRDefault="00333574" w:rsidP="007D569B">
      <w:pPr>
        <w:spacing w:line="276" w:lineRule="auto"/>
        <w:rPr>
          <w:rFonts w:cstheme="minorHAnsi"/>
          <w:sz w:val="22"/>
          <w:szCs w:val="22"/>
        </w:rPr>
      </w:pPr>
    </w:p>
    <w:p w14:paraId="6E7F6B70" w14:textId="3569CAD3" w:rsidR="006F08B2" w:rsidRPr="007D569B" w:rsidRDefault="006F08B2" w:rsidP="007D569B">
      <w:pPr>
        <w:spacing w:line="276" w:lineRule="auto"/>
        <w:rPr>
          <w:rFonts w:cstheme="minorHAnsi"/>
          <w:sz w:val="22"/>
          <w:szCs w:val="22"/>
        </w:rPr>
      </w:pPr>
      <w:r w:rsidRPr="007D569B">
        <w:rPr>
          <w:rFonts w:cstheme="minorHAnsi"/>
          <w:sz w:val="22"/>
          <w:szCs w:val="22"/>
        </w:rPr>
        <w:t>From as early as July 2009, there was significant community opposition to the project,</w:t>
      </w:r>
      <w:r w:rsidRPr="007D569B">
        <w:rPr>
          <w:rStyle w:val="FootnoteReference"/>
          <w:rFonts w:cstheme="minorHAnsi"/>
          <w:sz w:val="22"/>
          <w:szCs w:val="22"/>
        </w:rPr>
        <w:footnoteReference w:id="18"/>
      </w:r>
      <w:r w:rsidRPr="007D569B">
        <w:rPr>
          <w:rFonts w:cstheme="minorHAnsi"/>
          <w:sz w:val="22"/>
          <w:szCs w:val="22"/>
        </w:rPr>
        <w:t xml:space="preserve"> and in April 2012, 4,000 local people demonstrated against the dam.</w:t>
      </w:r>
      <w:r w:rsidRPr="007D569B">
        <w:rPr>
          <w:rStyle w:val="FootnoteReference"/>
          <w:rFonts w:cstheme="minorHAnsi"/>
          <w:sz w:val="22"/>
          <w:szCs w:val="22"/>
        </w:rPr>
        <w:footnoteReference w:id="19"/>
      </w:r>
      <w:r w:rsidRPr="007D569B">
        <w:rPr>
          <w:rFonts w:cstheme="minorHAnsi"/>
          <w:sz w:val="22"/>
          <w:szCs w:val="22"/>
        </w:rPr>
        <w:t xml:space="preserve"> Following the fatal shooting of Andrés Pedro Miguel and severe injuries to two others in May 2012, the Guatemalan government declared a state of siege in the area. During this time, the affected communities in Barillas suffered a state of terror. </w:t>
      </w:r>
      <w:r w:rsidR="00DB2D02" w:rsidRPr="007D569B">
        <w:rPr>
          <w:rFonts w:cstheme="minorHAnsi"/>
          <w:sz w:val="22"/>
          <w:szCs w:val="22"/>
        </w:rPr>
        <w:t xml:space="preserve">CAO writes </w:t>
      </w:r>
      <w:r w:rsidRPr="007D569B">
        <w:rPr>
          <w:rFonts w:cstheme="minorHAnsi"/>
          <w:sz w:val="22"/>
          <w:szCs w:val="22"/>
        </w:rPr>
        <w:t>“The declaration of a state of siege brought a significant presence of military and national police in Barillas; reports range in figures from 500 to 900 combined deployment of police and military. During the 18 days that the state of siege was in effect, it was reported that the military and police carried out numerous house searches and raids, at times with no warrants, questioning the residents including children, which were accompanied by the use of excessive force, material confiscation, threats, and insults.”</w:t>
      </w:r>
      <w:r w:rsidRPr="007D569B">
        <w:rPr>
          <w:rStyle w:val="FootnoteReference"/>
          <w:rFonts w:cstheme="minorHAnsi"/>
          <w:sz w:val="22"/>
          <w:szCs w:val="22"/>
        </w:rPr>
        <w:footnoteReference w:id="20"/>
      </w:r>
    </w:p>
    <w:p w14:paraId="29498A5F" w14:textId="77777777" w:rsidR="006F08B2" w:rsidRPr="007D569B" w:rsidRDefault="006F08B2" w:rsidP="007D569B">
      <w:pPr>
        <w:spacing w:line="276" w:lineRule="auto"/>
        <w:rPr>
          <w:rFonts w:cstheme="minorHAnsi"/>
          <w:sz w:val="22"/>
          <w:szCs w:val="22"/>
        </w:rPr>
      </w:pPr>
    </w:p>
    <w:p w14:paraId="054E1A88" w14:textId="3B103081" w:rsidR="006F08B2" w:rsidRPr="007D569B" w:rsidRDefault="00200D64" w:rsidP="007D569B">
      <w:pPr>
        <w:spacing w:line="276" w:lineRule="auto"/>
        <w:rPr>
          <w:rFonts w:cstheme="minorHAnsi"/>
          <w:sz w:val="22"/>
          <w:szCs w:val="22"/>
        </w:rPr>
      </w:pPr>
      <w:r w:rsidRPr="007D569B">
        <w:rPr>
          <w:rFonts w:cstheme="minorHAnsi"/>
          <w:sz w:val="22"/>
          <w:szCs w:val="22"/>
        </w:rPr>
        <w:t>CAO notes that i</w:t>
      </w:r>
      <w:r w:rsidR="006F08B2" w:rsidRPr="007D569B">
        <w:rPr>
          <w:rFonts w:cstheme="minorHAnsi"/>
          <w:sz w:val="22"/>
          <w:szCs w:val="22"/>
        </w:rPr>
        <w:t xml:space="preserve">n October 2012, CIFI’s own consultant reported on the significant negative impacts of the project on local communities. The consultant “noted that misconceptions among local communities regarding the project combined with insufficient and inadequate communication between HSC, local communities, and other stakeholders had led to growing opposition to the project. The report stated that these issues were compounded by regional and national political issues such as indigenous rights, the use of military in response to project-level incidents, and the role of international private investment in rural </w:t>
      </w:r>
      <w:r w:rsidR="006F08B2" w:rsidRPr="007D569B">
        <w:rPr>
          <w:rFonts w:cstheme="minorHAnsi"/>
          <w:sz w:val="22"/>
          <w:szCs w:val="22"/>
        </w:rPr>
        <w:lastRenderedPageBreak/>
        <w:t xml:space="preserve">indigenous areas of Guatemala. </w:t>
      </w:r>
      <w:r w:rsidR="006F08B2" w:rsidRPr="007D569B">
        <w:rPr>
          <w:rFonts w:cstheme="minorHAnsi"/>
          <w:b/>
          <w:bCs/>
          <w:sz w:val="22"/>
          <w:szCs w:val="22"/>
        </w:rPr>
        <w:t>The report concluded that the development of the project had generated significant negative impacts in the social context of the project area</w:t>
      </w:r>
      <w:r w:rsidR="006F08B2" w:rsidRPr="007D569B">
        <w:rPr>
          <w:rFonts w:cstheme="minorHAnsi"/>
          <w:sz w:val="22"/>
          <w:szCs w:val="22"/>
        </w:rPr>
        <w:t>.”</w:t>
      </w:r>
      <w:r w:rsidR="006F08B2" w:rsidRPr="007D569B">
        <w:rPr>
          <w:rStyle w:val="FootnoteReference"/>
          <w:rFonts w:cstheme="minorHAnsi"/>
          <w:sz w:val="22"/>
          <w:szCs w:val="22"/>
        </w:rPr>
        <w:footnoteReference w:id="21"/>
      </w:r>
    </w:p>
    <w:p w14:paraId="205C99D7" w14:textId="77777777" w:rsidR="006F08B2" w:rsidRPr="007D569B" w:rsidRDefault="006F08B2" w:rsidP="007D569B">
      <w:pPr>
        <w:spacing w:line="276" w:lineRule="auto"/>
        <w:rPr>
          <w:rFonts w:cstheme="minorHAnsi"/>
          <w:sz w:val="22"/>
          <w:szCs w:val="22"/>
        </w:rPr>
      </w:pPr>
    </w:p>
    <w:p w14:paraId="4B2845E9" w14:textId="77777777" w:rsidR="007A215C" w:rsidRPr="007D569B" w:rsidRDefault="007A215C" w:rsidP="007D569B">
      <w:pPr>
        <w:spacing w:line="276" w:lineRule="auto"/>
        <w:rPr>
          <w:rFonts w:cstheme="minorHAnsi"/>
          <w:b/>
          <w:bCs/>
          <w:color w:val="4472C4" w:themeColor="accent1"/>
          <w:sz w:val="22"/>
          <w:szCs w:val="22"/>
        </w:rPr>
      </w:pPr>
      <w:r w:rsidRPr="007D569B">
        <w:rPr>
          <w:rFonts w:cstheme="minorHAnsi"/>
          <w:b/>
          <w:bCs/>
          <w:color w:val="4472C4" w:themeColor="accent1"/>
          <w:sz w:val="22"/>
          <w:szCs w:val="22"/>
        </w:rPr>
        <w:t>Failure to meet Performance Standards</w:t>
      </w:r>
    </w:p>
    <w:p w14:paraId="1B869D0E" w14:textId="3696DAF1" w:rsidR="006F08B2" w:rsidRPr="007D569B" w:rsidRDefault="00380912" w:rsidP="007D569B">
      <w:pPr>
        <w:spacing w:line="276" w:lineRule="auto"/>
        <w:rPr>
          <w:rFonts w:cstheme="minorHAnsi"/>
          <w:sz w:val="22"/>
          <w:szCs w:val="22"/>
        </w:rPr>
      </w:pPr>
      <w:r w:rsidRPr="007D569B">
        <w:rPr>
          <w:rFonts w:cstheme="minorHAnsi"/>
          <w:sz w:val="22"/>
          <w:szCs w:val="22"/>
        </w:rPr>
        <w:t>CAO notes that th</w:t>
      </w:r>
      <w:r w:rsidR="00060AEB">
        <w:rPr>
          <w:rFonts w:cstheme="minorHAnsi"/>
          <w:sz w:val="22"/>
          <w:szCs w:val="22"/>
        </w:rPr>
        <w:t xml:space="preserve">e </w:t>
      </w:r>
      <w:r w:rsidR="00D84EBC" w:rsidRPr="007D569B">
        <w:rPr>
          <w:rFonts w:cstheme="minorHAnsi"/>
          <w:sz w:val="22"/>
          <w:szCs w:val="22"/>
        </w:rPr>
        <w:t xml:space="preserve">CIFI consultant’s </w:t>
      </w:r>
      <w:r w:rsidR="006F08B2" w:rsidRPr="007D569B">
        <w:rPr>
          <w:rFonts w:cstheme="minorHAnsi"/>
          <w:sz w:val="22"/>
          <w:szCs w:val="22"/>
        </w:rPr>
        <w:t>report found evidence that the project had not ensured Free Prior and Informed Consent of indigenous peoples, had not respected the result of local community consultations, had used public and private security personnel improperly, and that security forces were allegedly involved in violent crime.</w:t>
      </w:r>
      <w:r w:rsidR="00495F01" w:rsidRPr="007D569B">
        <w:rPr>
          <w:rStyle w:val="FootnoteReference"/>
          <w:rFonts w:cstheme="minorHAnsi"/>
          <w:sz w:val="22"/>
          <w:szCs w:val="22"/>
        </w:rPr>
        <w:footnoteReference w:id="22"/>
      </w:r>
    </w:p>
    <w:p w14:paraId="05001056" w14:textId="77777777" w:rsidR="006F08B2" w:rsidRPr="007D569B" w:rsidRDefault="006F08B2" w:rsidP="007D569B">
      <w:pPr>
        <w:spacing w:line="276" w:lineRule="auto"/>
        <w:rPr>
          <w:rFonts w:cstheme="minorHAnsi"/>
          <w:sz w:val="22"/>
          <w:szCs w:val="22"/>
        </w:rPr>
      </w:pPr>
    </w:p>
    <w:p w14:paraId="4EEE439E" w14:textId="2322DA71" w:rsidR="006B2D84" w:rsidRPr="007D569B" w:rsidRDefault="00DA236D" w:rsidP="007D569B">
      <w:pPr>
        <w:spacing w:line="276" w:lineRule="auto"/>
        <w:rPr>
          <w:rFonts w:cstheme="minorHAnsi"/>
          <w:sz w:val="22"/>
          <w:szCs w:val="22"/>
        </w:rPr>
      </w:pPr>
      <w:r w:rsidRPr="007D569B">
        <w:rPr>
          <w:rFonts w:cstheme="minorHAnsi"/>
          <w:sz w:val="22"/>
          <w:szCs w:val="22"/>
        </w:rPr>
        <w:t xml:space="preserve">In terms of whether the </w:t>
      </w:r>
      <w:proofErr w:type="spellStart"/>
      <w:r w:rsidR="004D45E7" w:rsidRPr="007D569B">
        <w:rPr>
          <w:rFonts w:cstheme="minorHAnsi"/>
          <w:sz w:val="22"/>
          <w:szCs w:val="22"/>
        </w:rPr>
        <w:t>Canbalam</w:t>
      </w:r>
      <w:proofErr w:type="spellEnd"/>
      <w:r w:rsidR="004D45E7" w:rsidRPr="007D569B">
        <w:rPr>
          <w:rFonts w:cstheme="minorHAnsi"/>
          <w:sz w:val="22"/>
          <w:szCs w:val="22"/>
        </w:rPr>
        <w:t xml:space="preserve"> </w:t>
      </w:r>
      <w:r w:rsidRPr="007D569B">
        <w:rPr>
          <w:rFonts w:cstheme="minorHAnsi"/>
          <w:sz w:val="22"/>
          <w:szCs w:val="22"/>
        </w:rPr>
        <w:t xml:space="preserve">project met IFC’s Performance Standards, </w:t>
      </w:r>
      <w:r w:rsidR="006B2D84" w:rsidRPr="007D569B">
        <w:rPr>
          <w:rFonts w:cstheme="minorHAnsi"/>
          <w:sz w:val="22"/>
          <w:szCs w:val="22"/>
        </w:rPr>
        <w:t xml:space="preserve">CIFI’s </w:t>
      </w:r>
      <w:r w:rsidRPr="007D569B">
        <w:rPr>
          <w:rFonts w:cstheme="minorHAnsi"/>
          <w:sz w:val="22"/>
          <w:szCs w:val="22"/>
        </w:rPr>
        <w:t xml:space="preserve">own </w:t>
      </w:r>
      <w:r w:rsidR="006B2D84" w:rsidRPr="007D569B">
        <w:rPr>
          <w:rFonts w:cstheme="minorHAnsi"/>
          <w:sz w:val="22"/>
          <w:szCs w:val="22"/>
        </w:rPr>
        <w:t>due diligence</w:t>
      </w:r>
      <w:r w:rsidRPr="007D569B">
        <w:rPr>
          <w:rFonts w:cstheme="minorHAnsi"/>
          <w:sz w:val="22"/>
          <w:szCs w:val="22"/>
        </w:rPr>
        <w:t xml:space="preserve"> report</w:t>
      </w:r>
      <w:r w:rsidR="006B2D84" w:rsidRPr="007D569B">
        <w:rPr>
          <w:rFonts w:cstheme="minorHAnsi"/>
          <w:sz w:val="22"/>
          <w:szCs w:val="22"/>
        </w:rPr>
        <w:t xml:space="preserve"> noted the absence of a social impact assessment or socio-economic baseline study</w:t>
      </w:r>
      <w:r w:rsidR="006B2D84" w:rsidRPr="007D569B">
        <w:rPr>
          <w:rFonts w:cstheme="minorHAnsi"/>
          <w:i/>
          <w:iCs/>
          <w:sz w:val="22"/>
          <w:szCs w:val="22"/>
        </w:rPr>
        <w:t xml:space="preserve">. </w:t>
      </w:r>
      <w:r w:rsidR="00380912" w:rsidRPr="007D569B">
        <w:rPr>
          <w:rFonts w:cstheme="minorHAnsi"/>
          <w:i/>
          <w:iCs/>
          <w:sz w:val="22"/>
          <w:szCs w:val="22"/>
        </w:rPr>
        <w:t>“</w:t>
      </w:r>
      <w:r w:rsidR="006B2D84" w:rsidRPr="007D569B">
        <w:rPr>
          <w:rFonts w:cstheme="minorHAnsi"/>
          <w:i/>
          <w:iCs/>
          <w:sz w:val="22"/>
          <w:szCs w:val="22"/>
        </w:rPr>
        <w:t xml:space="preserve">This type of information is required in order to assess the impact of a greenfield hydropower project such as </w:t>
      </w:r>
      <w:proofErr w:type="spellStart"/>
      <w:r w:rsidR="006B2D84" w:rsidRPr="007D569B">
        <w:rPr>
          <w:rFonts w:cstheme="minorHAnsi"/>
          <w:i/>
          <w:iCs/>
          <w:sz w:val="22"/>
          <w:szCs w:val="22"/>
        </w:rPr>
        <w:t>Hidro</w:t>
      </w:r>
      <w:proofErr w:type="spellEnd"/>
      <w:r w:rsidR="006B2D84" w:rsidRPr="007D569B">
        <w:rPr>
          <w:rFonts w:cstheme="minorHAnsi"/>
          <w:i/>
          <w:iCs/>
          <w:sz w:val="22"/>
          <w:szCs w:val="22"/>
        </w:rPr>
        <w:t xml:space="preserve"> Santa Cruz in accordance with the Performance Standards.</w:t>
      </w:r>
      <w:r w:rsidRPr="007D569B">
        <w:rPr>
          <w:rFonts w:cstheme="minorHAnsi"/>
          <w:i/>
          <w:iCs/>
          <w:sz w:val="22"/>
          <w:szCs w:val="22"/>
        </w:rPr>
        <w:t>”</w:t>
      </w:r>
      <w:r w:rsidRPr="007D569B">
        <w:rPr>
          <w:rFonts w:cstheme="minorHAnsi"/>
          <w:sz w:val="22"/>
          <w:szCs w:val="22"/>
        </w:rPr>
        <w:t xml:space="preserve"> Without this information, CAO notes, </w:t>
      </w:r>
      <w:r w:rsidRPr="007D569B">
        <w:rPr>
          <w:rFonts w:cstheme="minorHAnsi"/>
          <w:i/>
          <w:iCs/>
          <w:sz w:val="22"/>
          <w:szCs w:val="22"/>
        </w:rPr>
        <w:t>“</w:t>
      </w:r>
      <w:r w:rsidR="006B2D84" w:rsidRPr="007D569B">
        <w:rPr>
          <w:rFonts w:cstheme="minorHAnsi"/>
          <w:i/>
          <w:iCs/>
          <w:sz w:val="22"/>
          <w:szCs w:val="22"/>
        </w:rPr>
        <w:t xml:space="preserve">it is not possible to determine the project’s alignment with the Performance Standards requirements regarding consultation (under PS1 and PS7) or assessment of impacts on Indigenous Peoples (under PS7). Further, neither project documentation </w:t>
      </w:r>
      <w:r w:rsidR="00BF4592" w:rsidRPr="007D569B">
        <w:rPr>
          <w:rFonts w:cstheme="minorHAnsi"/>
          <w:i/>
          <w:iCs/>
          <w:sz w:val="22"/>
          <w:szCs w:val="22"/>
        </w:rPr>
        <w:t>n</w:t>
      </w:r>
      <w:r w:rsidR="006B2D84" w:rsidRPr="007D569B">
        <w:rPr>
          <w:rFonts w:cstheme="minorHAnsi"/>
          <w:i/>
          <w:iCs/>
          <w:sz w:val="22"/>
          <w:szCs w:val="22"/>
        </w:rPr>
        <w:t xml:space="preserve">or the client’s ESDD </w:t>
      </w:r>
      <w:r w:rsidR="00BF4592" w:rsidRPr="007D569B">
        <w:rPr>
          <w:rFonts w:cstheme="minorHAnsi"/>
          <w:i/>
          <w:iCs/>
          <w:sz w:val="22"/>
          <w:szCs w:val="22"/>
        </w:rPr>
        <w:t xml:space="preserve">[Environmental and Social Due Diligence] </w:t>
      </w:r>
      <w:r w:rsidR="006B2D84" w:rsidRPr="007D569B">
        <w:rPr>
          <w:rFonts w:cstheme="minorHAnsi"/>
          <w:i/>
          <w:iCs/>
          <w:sz w:val="22"/>
          <w:szCs w:val="22"/>
        </w:rPr>
        <w:t>commented on the project’s approach to security (as required by PS4).”</w:t>
      </w:r>
      <w:r w:rsidR="00032A94">
        <w:rPr>
          <w:rStyle w:val="FootnoteReference"/>
          <w:rFonts w:cstheme="minorHAnsi"/>
          <w:i/>
          <w:iCs/>
          <w:sz w:val="22"/>
          <w:szCs w:val="22"/>
        </w:rPr>
        <w:footnoteReference w:id="23"/>
      </w:r>
    </w:p>
    <w:p w14:paraId="44058638" w14:textId="77777777" w:rsidR="008A0F6D" w:rsidRPr="007D569B" w:rsidRDefault="008A0F6D" w:rsidP="007D569B">
      <w:pPr>
        <w:spacing w:line="276" w:lineRule="auto"/>
        <w:rPr>
          <w:rFonts w:cstheme="minorHAnsi"/>
          <w:sz w:val="22"/>
          <w:szCs w:val="22"/>
        </w:rPr>
      </w:pPr>
    </w:p>
    <w:p w14:paraId="20DC7DD2" w14:textId="77777777" w:rsidR="007D2F78" w:rsidRPr="007D569B" w:rsidRDefault="008B026D" w:rsidP="007D569B">
      <w:pPr>
        <w:spacing w:line="276" w:lineRule="auto"/>
        <w:rPr>
          <w:rFonts w:cstheme="minorHAnsi"/>
          <w:b/>
          <w:bCs/>
          <w:color w:val="4472C4" w:themeColor="accent1"/>
          <w:sz w:val="22"/>
          <w:szCs w:val="22"/>
        </w:rPr>
      </w:pPr>
      <w:r w:rsidRPr="007D569B">
        <w:rPr>
          <w:rFonts w:cstheme="minorHAnsi"/>
          <w:b/>
          <w:bCs/>
          <w:color w:val="4472C4" w:themeColor="accent1"/>
          <w:sz w:val="22"/>
          <w:szCs w:val="22"/>
        </w:rPr>
        <w:t>Due diligence</w:t>
      </w:r>
      <w:r w:rsidR="00FD4F0A" w:rsidRPr="007D569B">
        <w:rPr>
          <w:rFonts w:cstheme="minorHAnsi"/>
          <w:b/>
          <w:bCs/>
          <w:color w:val="4472C4" w:themeColor="accent1"/>
          <w:sz w:val="22"/>
          <w:szCs w:val="22"/>
        </w:rPr>
        <w:t xml:space="preserve"> failings</w:t>
      </w:r>
    </w:p>
    <w:p w14:paraId="0B9AABF3" w14:textId="05A09F96" w:rsidR="00B31609" w:rsidRPr="007D569B" w:rsidRDefault="00287460" w:rsidP="007D569B">
      <w:pPr>
        <w:spacing w:line="276" w:lineRule="auto"/>
        <w:rPr>
          <w:rFonts w:cstheme="minorHAnsi"/>
          <w:b/>
          <w:bCs/>
          <w:sz w:val="22"/>
          <w:szCs w:val="22"/>
        </w:rPr>
      </w:pPr>
      <w:r w:rsidRPr="007D569B">
        <w:rPr>
          <w:rFonts w:cstheme="minorHAnsi"/>
          <w:sz w:val="22"/>
          <w:szCs w:val="22"/>
        </w:rPr>
        <w:t xml:space="preserve">CAO finds that IFC failed to carry out its duties and obligations regarding its </w:t>
      </w:r>
      <w:r w:rsidR="00490E4E" w:rsidRPr="007D569B">
        <w:rPr>
          <w:rFonts w:cstheme="minorHAnsi"/>
          <w:sz w:val="22"/>
          <w:szCs w:val="22"/>
        </w:rPr>
        <w:t>due diligence</w:t>
      </w:r>
      <w:r w:rsidR="00A8595D" w:rsidRPr="007D569B">
        <w:rPr>
          <w:rFonts w:cstheme="minorHAnsi"/>
          <w:sz w:val="22"/>
          <w:szCs w:val="22"/>
        </w:rPr>
        <w:t xml:space="preserve"> </w:t>
      </w:r>
      <w:r w:rsidR="00490E4E" w:rsidRPr="007D569B">
        <w:rPr>
          <w:rFonts w:cstheme="minorHAnsi"/>
          <w:sz w:val="22"/>
          <w:szCs w:val="22"/>
        </w:rPr>
        <w:t>on</w:t>
      </w:r>
      <w:r w:rsidRPr="007D569B">
        <w:rPr>
          <w:rFonts w:cstheme="minorHAnsi"/>
          <w:sz w:val="22"/>
          <w:szCs w:val="22"/>
        </w:rPr>
        <w:t xml:space="preserve"> its financial intermediary client, CIFI: </w:t>
      </w:r>
      <w:r w:rsidRPr="007D569B">
        <w:rPr>
          <w:rFonts w:cstheme="minorHAnsi"/>
          <w:i/>
          <w:iCs/>
          <w:sz w:val="22"/>
          <w:szCs w:val="22"/>
        </w:rPr>
        <w:t>“IFC’s review and supervision of its investment in CIFI were not sufficient to provide assurance that CIFI was consistently applying the Performance Standards to its investments“</w:t>
      </w:r>
      <w:r w:rsidRPr="007D569B">
        <w:rPr>
          <w:rStyle w:val="FootnoteReference"/>
          <w:rFonts w:cstheme="minorHAnsi"/>
          <w:sz w:val="22"/>
          <w:szCs w:val="22"/>
        </w:rPr>
        <w:footnoteReference w:id="24"/>
      </w:r>
      <w:r w:rsidRPr="007D569B">
        <w:rPr>
          <w:rFonts w:cstheme="minorHAnsi"/>
          <w:sz w:val="22"/>
          <w:szCs w:val="22"/>
        </w:rPr>
        <w:t xml:space="preserve"> and </w:t>
      </w:r>
      <w:r w:rsidRPr="007D569B">
        <w:rPr>
          <w:rFonts w:cstheme="minorHAnsi"/>
          <w:i/>
          <w:iCs/>
          <w:sz w:val="22"/>
          <w:szCs w:val="22"/>
        </w:rPr>
        <w:t>“</w:t>
      </w:r>
      <w:r w:rsidR="00B31609" w:rsidRPr="007D569B">
        <w:rPr>
          <w:rFonts w:cstheme="minorHAnsi"/>
          <w:i/>
          <w:iCs/>
          <w:sz w:val="22"/>
          <w:szCs w:val="22"/>
        </w:rPr>
        <w:t>IFC’s pre-investment E&amp;S review was not commensurate to risk</w:t>
      </w:r>
      <w:r w:rsidR="00B31609" w:rsidRPr="007D569B">
        <w:rPr>
          <w:rFonts w:cstheme="minorHAnsi"/>
          <w:sz w:val="22"/>
          <w:szCs w:val="22"/>
        </w:rPr>
        <w:t>.</w:t>
      </w:r>
      <w:r w:rsidRPr="007D569B">
        <w:rPr>
          <w:rFonts w:cstheme="minorHAnsi"/>
          <w:sz w:val="22"/>
          <w:szCs w:val="22"/>
        </w:rPr>
        <w:t>”</w:t>
      </w:r>
      <w:r w:rsidR="00B31609" w:rsidRPr="007D569B">
        <w:rPr>
          <w:rFonts w:cstheme="minorHAnsi"/>
          <w:sz w:val="22"/>
          <w:szCs w:val="22"/>
        </w:rPr>
        <w:t xml:space="preserve"> </w:t>
      </w:r>
    </w:p>
    <w:p w14:paraId="27B98CE4" w14:textId="77777777" w:rsidR="00B31609" w:rsidRPr="007D569B" w:rsidRDefault="00B31609" w:rsidP="007D569B">
      <w:pPr>
        <w:spacing w:line="276" w:lineRule="auto"/>
        <w:rPr>
          <w:rFonts w:cstheme="minorHAnsi"/>
          <w:sz w:val="22"/>
          <w:szCs w:val="22"/>
        </w:rPr>
      </w:pPr>
    </w:p>
    <w:p w14:paraId="7EA0CCCC" w14:textId="3577C221" w:rsidR="000C649C" w:rsidRPr="007D569B" w:rsidRDefault="007D2F78" w:rsidP="007D569B">
      <w:pPr>
        <w:spacing w:line="276" w:lineRule="auto"/>
        <w:rPr>
          <w:rFonts w:cstheme="minorHAnsi"/>
          <w:sz w:val="22"/>
          <w:szCs w:val="22"/>
        </w:rPr>
      </w:pPr>
      <w:r w:rsidRPr="007D569B">
        <w:rPr>
          <w:rFonts w:cstheme="minorHAnsi"/>
          <w:sz w:val="22"/>
          <w:szCs w:val="22"/>
        </w:rPr>
        <w:t>As</w:t>
      </w:r>
      <w:r w:rsidR="002C130E" w:rsidRPr="007D569B">
        <w:rPr>
          <w:rFonts w:cstheme="minorHAnsi"/>
          <w:sz w:val="22"/>
          <w:szCs w:val="22"/>
        </w:rPr>
        <w:t xml:space="preserve"> </w:t>
      </w:r>
      <w:r w:rsidR="00D73608" w:rsidRPr="007D569B">
        <w:rPr>
          <w:rFonts w:cstheme="minorHAnsi"/>
          <w:sz w:val="22"/>
          <w:szCs w:val="22"/>
        </w:rPr>
        <w:t xml:space="preserve">a </w:t>
      </w:r>
      <w:r w:rsidR="002C130E" w:rsidRPr="007D569B">
        <w:rPr>
          <w:rFonts w:cstheme="minorHAnsi"/>
          <w:sz w:val="22"/>
          <w:szCs w:val="22"/>
        </w:rPr>
        <w:t xml:space="preserve">financial intermediary </w:t>
      </w:r>
      <w:r w:rsidR="00D73608" w:rsidRPr="007D569B">
        <w:rPr>
          <w:rFonts w:cstheme="minorHAnsi"/>
          <w:sz w:val="22"/>
          <w:szCs w:val="22"/>
        </w:rPr>
        <w:t>investment</w:t>
      </w:r>
      <w:r w:rsidR="002C130E" w:rsidRPr="007D569B">
        <w:rPr>
          <w:rFonts w:cstheme="minorHAnsi"/>
          <w:sz w:val="22"/>
          <w:szCs w:val="22"/>
        </w:rPr>
        <w:t xml:space="preserve">, IFC had to ensure that CIFI would </w:t>
      </w:r>
      <w:r w:rsidR="000606CF" w:rsidRPr="007D569B">
        <w:rPr>
          <w:rFonts w:cstheme="minorHAnsi"/>
          <w:sz w:val="22"/>
          <w:szCs w:val="22"/>
        </w:rPr>
        <w:t xml:space="preserve">have the capacity to </w:t>
      </w:r>
      <w:r w:rsidR="002C130E" w:rsidRPr="007D569B">
        <w:rPr>
          <w:rFonts w:cstheme="minorHAnsi"/>
          <w:sz w:val="22"/>
          <w:szCs w:val="22"/>
        </w:rPr>
        <w:t>meet IFC’s social and environmental protection standards.</w:t>
      </w:r>
      <w:r w:rsidRPr="007D569B">
        <w:rPr>
          <w:rStyle w:val="FootnoteReference"/>
          <w:rFonts w:cstheme="minorHAnsi"/>
          <w:sz w:val="22"/>
          <w:szCs w:val="22"/>
        </w:rPr>
        <w:footnoteReference w:id="25"/>
      </w:r>
      <w:r w:rsidR="00CC0E3B" w:rsidRPr="007D569B">
        <w:rPr>
          <w:rFonts w:cstheme="minorHAnsi"/>
          <w:sz w:val="22"/>
          <w:szCs w:val="22"/>
        </w:rPr>
        <w:t xml:space="preserve"> The </w:t>
      </w:r>
      <w:r w:rsidR="002C130E" w:rsidRPr="007D569B">
        <w:rPr>
          <w:rFonts w:cstheme="minorHAnsi"/>
          <w:sz w:val="22"/>
          <w:szCs w:val="22"/>
        </w:rPr>
        <w:t>CAO finds that the IFC failed to do so:</w:t>
      </w:r>
    </w:p>
    <w:p w14:paraId="0CDE8A10" w14:textId="2815472B" w:rsidR="002C130E" w:rsidRPr="007D569B" w:rsidRDefault="002C130E" w:rsidP="007D569B">
      <w:pPr>
        <w:pStyle w:val="ListParagraph"/>
        <w:numPr>
          <w:ilvl w:val="0"/>
          <w:numId w:val="10"/>
        </w:numPr>
        <w:spacing w:line="276" w:lineRule="auto"/>
        <w:rPr>
          <w:rFonts w:cstheme="minorHAnsi"/>
          <w:sz w:val="22"/>
          <w:szCs w:val="22"/>
        </w:rPr>
      </w:pPr>
      <w:r w:rsidRPr="007D569B">
        <w:rPr>
          <w:rFonts w:cstheme="minorHAnsi"/>
          <w:sz w:val="22"/>
          <w:szCs w:val="22"/>
        </w:rPr>
        <w:t>CIFI did not have any</w:t>
      </w:r>
      <w:r w:rsidR="007C50AF" w:rsidRPr="007D569B">
        <w:rPr>
          <w:rFonts w:cstheme="minorHAnsi"/>
          <w:sz w:val="22"/>
          <w:szCs w:val="22"/>
        </w:rPr>
        <w:t xml:space="preserve"> staff</w:t>
      </w:r>
      <w:r w:rsidRPr="007D569B">
        <w:rPr>
          <w:rFonts w:cstheme="minorHAnsi"/>
          <w:sz w:val="22"/>
          <w:szCs w:val="22"/>
        </w:rPr>
        <w:t xml:space="preserve"> dedicated to environmental and social issues: this job was covered by an investment officer</w:t>
      </w:r>
      <w:r w:rsidR="007C50AF" w:rsidRPr="007D569B">
        <w:rPr>
          <w:rFonts w:cstheme="minorHAnsi"/>
          <w:sz w:val="22"/>
          <w:szCs w:val="22"/>
        </w:rPr>
        <w:t>.</w:t>
      </w:r>
      <w:r w:rsidRPr="007D569B">
        <w:rPr>
          <w:rStyle w:val="FootnoteReference"/>
          <w:rFonts w:cstheme="minorHAnsi"/>
          <w:sz w:val="22"/>
          <w:szCs w:val="22"/>
        </w:rPr>
        <w:footnoteReference w:id="26"/>
      </w:r>
      <w:r w:rsidR="001341BE" w:rsidRPr="007D569B">
        <w:rPr>
          <w:rFonts w:cstheme="minorHAnsi"/>
          <w:sz w:val="22"/>
          <w:szCs w:val="22"/>
        </w:rPr>
        <w:t xml:space="preserve"> </w:t>
      </w:r>
      <w:r w:rsidR="007C50AF" w:rsidRPr="007D569B">
        <w:rPr>
          <w:rFonts w:cstheme="minorHAnsi"/>
          <w:sz w:val="22"/>
          <w:szCs w:val="22"/>
        </w:rPr>
        <w:t>Alt</w:t>
      </w:r>
      <w:r w:rsidR="001341BE" w:rsidRPr="007D569B">
        <w:rPr>
          <w:rFonts w:cstheme="minorHAnsi"/>
          <w:sz w:val="22"/>
          <w:szCs w:val="22"/>
        </w:rPr>
        <w:t>hough CIFI had 26 high and medium risk projects in its portfolio, IFC did not consider whether it was appropriate for its client to have no staff solely responsible for environmental and social risk management;</w:t>
      </w:r>
      <w:r w:rsidR="001341BE" w:rsidRPr="007D569B">
        <w:rPr>
          <w:rStyle w:val="FootnoteReference"/>
          <w:rFonts w:cstheme="minorHAnsi"/>
          <w:sz w:val="22"/>
          <w:szCs w:val="22"/>
        </w:rPr>
        <w:footnoteReference w:id="27"/>
      </w:r>
    </w:p>
    <w:p w14:paraId="5ADE873A" w14:textId="4B65F504" w:rsidR="002C130E" w:rsidRPr="007D569B" w:rsidRDefault="002C130E" w:rsidP="007D569B">
      <w:pPr>
        <w:pStyle w:val="ListParagraph"/>
        <w:numPr>
          <w:ilvl w:val="0"/>
          <w:numId w:val="10"/>
        </w:numPr>
        <w:spacing w:line="276" w:lineRule="auto"/>
        <w:rPr>
          <w:rFonts w:cstheme="minorHAnsi"/>
          <w:sz w:val="22"/>
          <w:szCs w:val="22"/>
        </w:rPr>
      </w:pPr>
      <w:r w:rsidRPr="007D569B">
        <w:rPr>
          <w:rFonts w:cstheme="minorHAnsi"/>
          <w:sz w:val="22"/>
          <w:szCs w:val="22"/>
        </w:rPr>
        <w:t>Though IFC checked that CIFI had policies in place on environmental and social protection, IFC did not check whether CIFI could actually put those policies into practice;</w:t>
      </w:r>
      <w:r w:rsidRPr="007D569B">
        <w:rPr>
          <w:rStyle w:val="FootnoteReference"/>
          <w:rFonts w:cstheme="minorHAnsi"/>
          <w:sz w:val="22"/>
          <w:szCs w:val="22"/>
        </w:rPr>
        <w:footnoteReference w:id="28"/>
      </w:r>
    </w:p>
    <w:p w14:paraId="21758048" w14:textId="2D739A6C" w:rsidR="00E21E5B" w:rsidRPr="007D569B" w:rsidRDefault="00E21E5B" w:rsidP="007D569B">
      <w:pPr>
        <w:pStyle w:val="ListParagraph"/>
        <w:numPr>
          <w:ilvl w:val="0"/>
          <w:numId w:val="10"/>
        </w:numPr>
        <w:spacing w:line="276" w:lineRule="auto"/>
        <w:rPr>
          <w:rFonts w:cstheme="minorHAnsi"/>
          <w:sz w:val="22"/>
          <w:szCs w:val="22"/>
        </w:rPr>
      </w:pPr>
      <w:r w:rsidRPr="007D569B">
        <w:rPr>
          <w:rFonts w:cstheme="minorHAnsi"/>
          <w:sz w:val="22"/>
          <w:szCs w:val="22"/>
        </w:rPr>
        <w:lastRenderedPageBreak/>
        <w:t>IFC did not look at CIFI’s track record of</w:t>
      </w:r>
      <w:r w:rsidR="00CD2458" w:rsidRPr="007D569B">
        <w:rPr>
          <w:rFonts w:cstheme="minorHAnsi"/>
          <w:sz w:val="22"/>
          <w:szCs w:val="22"/>
        </w:rPr>
        <w:t xml:space="preserve"> assessing, monitoring or</w:t>
      </w:r>
      <w:r w:rsidRPr="007D569B">
        <w:rPr>
          <w:rFonts w:cstheme="minorHAnsi"/>
          <w:sz w:val="22"/>
          <w:szCs w:val="22"/>
        </w:rPr>
        <w:t xml:space="preserve"> implementing </w:t>
      </w:r>
      <w:r w:rsidR="00962939" w:rsidRPr="007D569B">
        <w:rPr>
          <w:rFonts w:cstheme="minorHAnsi"/>
          <w:sz w:val="22"/>
          <w:szCs w:val="22"/>
        </w:rPr>
        <w:t xml:space="preserve">environmental and social </w:t>
      </w:r>
      <w:r w:rsidRPr="007D569B">
        <w:rPr>
          <w:rFonts w:cstheme="minorHAnsi"/>
          <w:sz w:val="22"/>
          <w:szCs w:val="22"/>
        </w:rPr>
        <w:t>protections</w:t>
      </w:r>
      <w:r w:rsidR="00C47C9D" w:rsidRPr="007D569B">
        <w:rPr>
          <w:rFonts w:cstheme="minorHAnsi"/>
          <w:sz w:val="22"/>
          <w:szCs w:val="22"/>
        </w:rPr>
        <w:t>.</w:t>
      </w:r>
      <w:r w:rsidRPr="007D569B">
        <w:rPr>
          <w:rStyle w:val="FootnoteReference"/>
          <w:rFonts w:cstheme="minorHAnsi"/>
          <w:sz w:val="22"/>
          <w:szCs w:val="22"/>
        </w:rPr>
        <w:footnoteReference w:id="29"/>
      </w:r>
    </w:p>
    <w:p w14:paraId="16F3EE7C" w14:textId="77777777" w:rsidR="00C47C9D" w:rsidRPr="007D569B" w:rsidRDefault="00C47C9D" w:rsidP="007D569B">
      <w:pPr>
        <w:spacing w:line="276" w:lineRule="auto"/>
        <w:rPr>
          <w:rFonts w:cstheme="minorHAnsi"/>
          <w:i/>
          <w:iCs/>
          <w:sz w:val="22"/>
          <w:szCs w:val="22"/>
        </w:rPr>
      </w:pPr>
    </w:p>
    <w:p w14:paraId="46F7F275" w14:textId="0383FD4A" w:rsidR="00C47C9D" w:rsidRPr="007D569B" w:rsidRDefault="005216E6" w:rsidP="007D569B">
      <w:pPr>
        <w:spacing w:line="276" w:lineRule="auto"/>
        <w:rPr>
          <w:rFonts w:cstheme="minorHAnsi"/>
          <w:b/>
          <w:bCs/>
          <w:i/>
          <w:iCs/>
          <w:sz w:val="22"/>
          <w:szCs w:val="22"/>
        </w:rPr>
      </w:pPr>
      <w:r w:rsidRPr="007D569B">
        <w:rPr>
          <w:rFonts w:cstheme="minorHAnsi"/>
          <w:sz w:val="22"/>
          <w:szCs w:val="22"/>
        </w:rPr>
        <w:t xml:space="preserve">CAO concludes, </w:t>
      </w:r>
      <w:r w:rsidR="00B64D42" w:rsidRPr="007D569B">
        <w:rPr>
          <w:rFonts w:cstheme="minorHAnsi"/>
          <w:b/>
          <w:bCs/>
          <w:i/>
          <w:iCs/>
          <w:sz w:val="22"/>
          <w:szCs w:val="22"/>
        </w:rPr>
        <w:t>“</w:t>
      </w:r>
      <w:r w:rsidR="00C47C9D" w:rsidRPr="007D569B">
        <w:rPr>
          <w:rFonts w:cstheme="minorHAnsi"/>
          <w:b/>
          <w:bCs/>
          <w:i/>
          <w:iCs/>
          <w:sz w:val="22"/>
          <w:szCs w:val="22"/>
        </w:rPr>
        <w:t xml:space="preserve">As a result, IFC did not have assurance that the client’s ESMS implementation was sufficient to ensure that higher risk investments it planned to finance, such as </w:t>
      </w:r>
      <w:proofErr w:type="spellStart"/>
      <w:r w:rsidR="00C47C9D" w:rsidRPr="007D569B">
        <w:rPr>
          <w:rFonts w:cstheme="minorHAnsi"/>
          <w:b/>
          <w:bCs/>
          <w:i/>
          <w:iCs/>
          <w:sz w:val="22"/>
          <w:szCs w:val="22"/>
        </w:rPr>
        <w:t>Canbalam</w:t>
      </w:r>
      <w:proofErr w:type="spellEnd"/>
      <w:r w:rsidR="00C47C9D" w:rsidRPr="007D569B">
        <w:rPr>
          <w:rFonts w:cstheme="minorHAnsi"/>
          <w:b/>
          <w:bCs/>
          <w:i/>
          <w:iCs/>
          <w:sz w:val="22"/>
          <w:szCs w:val="22"/>
        </w:rPr>
        <w:t xml:space="preserve"> I, would meet the requirements of the Performance Standards</w:t>
      </w:r>
      <w:r w:rsidR="00B64D42" w:rsidRPr="007D569B">
        <w:rPr>
          <w:rFonts w:cstheme="minorHAnsi"/>
          <w:b/>
          <w:bCs/>
          <w:i/>
          <w:iCs/>
          <w:sz w:val="22"/>
          <w:szCs w:val="22"/>
        </w:rPr>
        <w:t>”</w:t>
      </w:r>
      <w:r w:rsidR="00C47C9D" w:rsidRPr="007D569B">
        <w:rPr>
          <w:rFonts w:cstheme="minorHAnsi"/>
          <w:b/>
          <w:bCs/>
          <w:i/>
          <w:iCs/>
          <w:sz w:val="22"/>
          <w:szCs w:val="22"/>
        </w:rPr>
        <w:t>.</w:t>
      </w:r>
      <w:r w:rsidR="0016602B">
        <w:rPr>
          <w:rStyle w:val="FootnoteReference"/>
          <w:rFonts w:cstheme="minorHAnsi"/>
          <w:b/>
          <w:bCs/>
          <w:i/>
          <w:iCs/>
          <w:sz w:val="22"/>
          <w:szCs w:val="22"/>
        </w:rPr>
        <w:footnoteReference w:id="30"/>
      </w:r>
    </w:p>
    <w:p w14:paraId="666F9A92" w14:textId="6289D39D" w:rsidR="00EE6639" w:rsidRPr="007D569B" w:rsidRDefault="00EE6639" w:rsidP="007D569B">
      <w:pPr>
        <w:spacing w:line="276" w:lineRule="auto"/>
        <w:rPr>
          <w:rFonts w:cstheme="minorHAnsi"/>
          <w:b/>
          <w:bCs/>
          <w:i/>
          <w:iCs/>
          <w:sz w:val="22"/>
          <w:szCs w:val="22"/>
        </w:rPr>
      </w:pPr>
    </w:p>
    <w:p w14:paraId="531E2A20" w14:textId="7D93F0B5" w:rsidR="0058094F" w:rsidRPr="007D569B" w:rsidRDefault="007C50AF" w:rsidP="007D569B">
      <w:pPr>
        <w:spacing w:line="276" w:lineRule="auto"/>
        <w:rPr>
          <w:rFonts w:cstheme="minorHAnsi"/>
          <w:b/>
          <w:bCs/>
          <w:color w:val="4472C4" w:themeColor="accent1"/>
          <w:sz w:val="22"/>
          <w:szCs w:val="22"/>
        </w:rPr>
      </w:pPr>
      <w:r w:rsidRPr="007D569B">
        <w:rPr>
          <w:rFonts w:cstheme="minorHAnsi"/>
          <w:b/>
          <w:bCs/>
          <w:color w:val="4472C4" w:themeColor="accent1"/>
          <w:sz w:val="22"/>
          <w:szCs w:val="22"/>
        </w:rPr>
        <w:t>Post-investment s</w:t>
      </w:r>
      <w:r w:rsidR="008B026D" w:rsidRPr="007D569B">
        <w:rPr>
          <w:rFonts w:cstheme="minorHAnsi"/>
          <w:b/>
          <w:bCs/>
          <w:color w:val="4472C4" w:themeColor="accent1"/>
          <w:sz w:val="22"/>
          <w:szCs w:val="22"/>
        </w:rPr>
        <w:t>upervision</w:t>
      </w:r>
      <w:r w:rsidRPr="007D569B">
        <w:rPr>
          <w:rFonts w:cstheme="minorHAnsi"/>
          <w:b/>
          <w:bCs/>
          <w:color w:val="4472C4" w:themeColor="accent1"/>
          <w:sz w:val="22"/>
          <w:szCs w:val="22"/>
        </w:rPr>
        <w:t xml:space="preserve"> shortcomings</w:t>
      </w:r>
      <w:r w:rsidR="008B026D" w:rsidRPr="007D569B">
        <w:rPr>
          <w:rFonts w:cstheme="minorHAnsi"/>
          <w:b/>
          <w:bCs/>
          <w:color w:val="4472C4" w:themeColor="accent1"/>
          <w:sz w:val="22"/>
          <w:szCs w:val="22"/>
        </w:rPr>
        <w:t xml:space="preserve">: </w:t>
      </w:r>
    </w:p>
    <w:p w14:paraId="327B2400" w14:textId="461B7933" w:rsidR="00C07115" w:rsidRPr="007D569B" w:rsidRDefault="0017719F" w:rsidP="007D569B">
      <w:pPr>
        <w:spacing w:line="276" w:lineRule="auto"/>
        <w:rPr>
          <w:rFonts w:cstheme="minorHAnsi"/>
          <w:b/>
          <w:bCs/>
          <w:i/>
          <w:iCs/>
          <w:sz w:val="22"/>
          <w:szCs w:val="22"/>
        </w:rPr>
      </w:pPr>
      <w:r w:rsidRPr="007D569B">
        <w:rPr>
          <w:rFonts w:cstheme="minorHAnsi"/>
          <w:b/>
          <w:bCs/>
          <w:i/>
          <w:iCs/>
          <w:sz w:val="22"/>
          <w:szCs w:val="22"/>
        </w:rPr>
        <w:t xml:space="preserve"> </w:t>
      </w:r>
      <w:r w:rsidR="000A5C39" w:rsidRPr="007D569B">
        <w:rPr>
          <w:rFonts w:cstheme="minorHAnsi"/>
          <w:b/>
          <w:bCs/>
          <w:i/>
          <w:iCs/>
          <w:sz w:val="22"/>
          <w:szCs w:val="22"/>
        </w:rPr>
        <w:t>“From August 2008 through April 2010, IFC made a series of disbursements to the client despite indications of non-compliance with IFC’s E&amp;S requirements.”</w:t>
      </w:r>
      <w:r w:rsidR="007C50AF" w:rsidRPr="007D569B">
        <w:rPr>
          <w:rStyle w:val="FootnoteReference"/>
          <w:rFonts w:cstheme="minorHAnsi"/>
          <w:b/>
          <w:bCs/>
          <w:i/>
          <w:iCs/>
          <w:sz w:val="22"/>
          <w:szCs w:val="22"/>
        </w:rPr>
        <w:footnoteReference w:id="31"/>
      </w:r>
    </w:p>
    <w:p w14:paraId="6B81B835" w14:textId="77777777" w:rsidR="00DF66F9" w:rsidRPr="007D569B" w:rsidRDefault="00DF66F9" w:rsidP="007D569B">
      <w:pPr>
        <w:spacing w:line="276" w:lineRule="auto"/>
        <w:rPr>
          <w:rFonts w:cstheme="minorHAnsi"/>
          <w:sz w:val="22"/>
          <w:szCs w:val="22"/>
        </w:rPr>
      </w:pPr>
    </w:p>
    <w:p w14:paraId="7F85182D" w14:textId="15B96E2A" w:rsidR="00DF66F9" w:rsidRPr="007D569B" w:rsidRDefault="00074BF2" w:rsidP="007D569B">
      <w:pPr>
        <w:spacing w:line="276" w:lineRule="auto"/>
        <w:rPr>
          <w:rFonts w:cstheme="minorHAnsi"/>
          <w:i/>
          <w:iCs/>
          <w:sz w:val="22"/>
          <w:szCs w:val="22"/>
        </w:rPr>
      </w:pPr>
      <w:r w:rsidRPr="007D569B">
        <w:rPr>
          <w:rFonts w:cstheme="minorHAnsi"/>
          <w:sz w:val="22"/>
          <w:szCs w:val="22"/>
        </w:rPr>
        <w:t>CAO notes that,</w:t>
      </w:r>
      <w:r w:rsidR="0017719F" w:rsidRPr="007D569B">
        <w:rPr>
          <w:rFonts w:cstheme="minorHAnsi"/>
          <w:sz w:val="22"/>
          <w:szCs w:val="22"/>
        </w:rPr>
        <w:t xml:space="preserve"> </w:t>
      </w:r>
      <w:r w:rsidR="00DF66F9" w:rsidRPr="007D569B">
        <w:rPr>
          <w:rFonts w:cstheme="minorHAnsi"/>
          <w:i/>
          <w:iCs/>
          <w:sz w:val="22"/>
          <w:szCs w:val="22"/>
        </w:rPr>
        <w:t xml:space="preserve">“IFC did not take any action to address reported gaps in the client’s ESMS implementation prior to completing its first disbursement in August 2008, a key point of leverage as noted by IFC E&amp;S staff at the time.” </w:t>
      </w:r>
    </w:p>
    <w:p w14:paraId="29BF90B6" w14:textId="77777777" w:rsidR="00DF66F9" w:rsidRPr="007D569B" w:rsidRDefault="00DF66F9" w:rsidP="007D569B">
      <w:pPr>
        <w:spacing w:line="276" w:lineRule="auto"/>
        <w:rPr>
          <w:rFonts w:cstheme="minorHAnsi"/>
          <w:sz w:val="22"/>
          <w:szCs w:val="22"/>
        </w:rPr>
      </w:pPr>
    </w:p>
    <w:p w14:paraId="5E354FE7" w14:textId="545A24AB" w:rsidR="00C07115" w:rsidRPr="007D569B" w:rsidRDefault="00760AD0" w:rsidP="007D569B">
      <w:pPr>
        <w:spacing w:line="276" w:lineRule="auto"/>
        <w:rPr>
          <w:rFonts w:cstheme="minorHAnsi"/>
          <w:sz w:val="22"/>
          <w:szCs w:val="22"/>
        </w:rPr>
      </w:pPr>
      <w:r w:rsidRPr="007D569B">
        <w:rPr>
          <w:rFonts w:cstheme="minorHAnsi"/>
          <w:sz w:val="22"/>
          <w:szCs w:val="22"/>
        </w:rPr>
        <w:t>IFC’s</w:t>
      </w:r>
      <w:r w:rsidR="0013344B" w:rsidRPr="007D569B">
        <w:rPr>
          <w:rFonts w:cstheme="minorHAnsi"/>
          <w:sz w:val="22"/>
          <w:szCs w:val="22"/>
        </w:rPr>
        <w:t xml:space="preserve"> review of CIFI’s 2010 annual report classified it as ‘partly unsatisfactory</w:t>
      </w:r>
      <w:r w:rsidR="00B03549" w:rsidRPr="007D569B">
        <w:rPr>
          <w:rFonts w:cstheme="minorHAnsi"/>
          <w:sz w:val="22"/>
          <w:szCs w:val="22"/>
        </w:rPr>
        <w:t>’</w:t>
      </w:r>
      <w:r w:rsidR="0013344B" w:rsidRPr="007D569B">
        <w:rPr>
          <w:rFonts w:cstheme="minorHAnsi"/>
          <w:sz w:val="22"/>
          <w:szCs w:val="22"/>
        </w:rPr>
        <w:t>, since CIFI had failed to ensure environmental and social protections were implemented in projects it supported, i</w:t>
      </w:r>
      <w:r w:rsidR="00074BF2" w:rsidRPr="007D569B">
        <w:rPr>
          <w:rFonts w:cstheme="minorHAnsi"/>
          <w:sz w:val="22"/>
          <w:szCs w:val="22"/>
        </w:rPr>
        <w:t>t</w:t>
      </w:r>
      <w:r w:rsidR="0013344B" w:rsidRPr="007D569B">
        <w:rPr>
          <w:rFonts w:cstheme="minorHAnsi"/>
          <w:sz w:val="22"/>
          <w:szCs w:val="22"/>
        </w:rPr>
        <w:t xml:space="preserve"> had misclassified a high risk project as lower risk</w:t>
      </w:r>
      <w:r w:rsidRPr="007D569B">
        <w:rPr>
          <w:rFonts w:cstheme="minorHAnsi"/>
          <w:sz w:val="22"/>
          <w:szCs w:val="22"/>
        </w:rPr>
        <w:t>,</w:t>
      </w:r>
      <w:r w:rsidR="0013344B" w:rsidRPr="007D569B">
        <w:rPr>
          <w:rFonts w:cstheme="minorHAnsi"/>
          <w:sz w:val="22"/>
          <w:szCs w:val="22"/>
        </w:rPr>
        <w:t xml:space="preserve"> and when “very significant” problems had occurred, CIFI had not taken action. In total</w:t>
      </w:r>
      <w:r w:rsidR="00EC09F1" w:rsidRPr="007D569B">
        <w:rPr>
          <w:rFonts w:cstheme="minorHAnsi"/>
          <w:sz w:val="22"/>
          <w:szCs w:val="22"/>
        </w:rPr>
        <w:t>, the</w:t>
      </w:r>
      <w:r w:rsidR="0013344B" w:rsidRPr="007D569B">
        <w:rPr>
          <w:rFonts w:cstheme="minorHAnsi"/>
          <w:sz w:val="22"/>
          <w:szCs w:val="22"/>
        </w:rPr>
        <w:t xml:space="preserve"> IFC had to engage CIFI </w:t>
      </w:r>
      <w:r w:rsidRPr="007D569B">
        <w:rPr>
          <w:rFonts w:cstheme="minorHAnsi"/>
          <w:sz w:val="22"/>
          <w:szCs w:val="22"/>
        </w:rPr>
        <w:t>about</w:t>
      </w:r>
      <w:r w:rsidR="0013344B" w:rsidRPr="007D569B">
        <w:rPr>
          <w:rFonts w:cstheme="minorHAnsi"/>
          <w:sz w:val="22"/>
          <w:szCs w:val="22"/>
        </w:rPr>
        <w:t xml:space="preserve"> 15 of its investments where there were problems.</w:t>
      </w:r>
      <w:r w:rsidR="00306FE1" w:rsidRPr="007D569B">
        <w:rPr>
          <w:rStyle w:val="FootnoteReference"/>
          <w:rFonts w:cstheme="minorHAnsi"/>
          <w:sz w:val="22"/>
          <w:szCs w:val="22"/>
        </w:rPr>
        <w:footnoteReference w:id="32"/>
      </w:r>
      <w:r w:rsidR="00B03549" w:rsidRPr="007D569B">
        <w:rPr>
          <w:rFonts w:cstheme="minorHAnsi"/>
          <w:sz w:val="22"/>
          <w:szCs w:val="22"/>
        </w:rPr>
        <w:t xml:space="preserve"> By the time of its review of CIFI’s 2011 report, IFC assessed its client as ‘unsatisfactory’ – the lowest rating a client can receive.</w:t>
      </w:r>
      <w:r w:rsidR="005B2821" w:rsidRPr="007D569B">
        <w:rPr>
          <w:rStyle w:val="FootnoteReference"/>
          <w:rFonts w:cstheme="minorHAnsi"/>
          <w:sz w:val="22"/>
          <w:szCs w:val="22"/>
        </w:rPr>
        <w:footnoteReference w:id="33"/>
      </w:r>
      <w:r w:rsidR="005B2821" w:rsidRPr="007D569B">
        <w:rPr>
          <w:rFonts w:cstheme="minorHAnsi"/>
          <w:sz w:val="22"/>
          <w:szCs w:val="22"/>
        </w:rPr>
        <w:t xml:space="preserve"> Not only had CIFI </w:t>
      </w:r>
      <w:r w:rsidRPr="007D569B">
        <w:rPr>
          <w:rFonts w:cstheme="minorHAnsi"/>
          <w:sz w:val="22"/>
          <w:szCs w:val="22"/>
        </w:rPr>
        <w:t>failed to</w:t>
      </w:r>
      <w:r w:rsidR="005B2821" w:rsidRPr="007D569B">
        <w:rPr>
          <w:rFonts w:cstheme="minorHAnsi"/>
          <w:sz w:val="22"/>
          <w:szCs w:val="22"/>
        </w:rPr>
        <w:t xml:space="preserve"> implement</w:t>
      </w:r>
      <w:r w:rsidRPr="007D569B">
        <w:rPr>
          <w:rFonts w:cstheme="minorHAnsi"/>
          <w:sz w:val="22"/>
          <w:szCs w:val="22"/>
        </w:rPr>
        <w:t xml:space="preserve"> </w:t>
      </w:r>
      <w:r w:rsidR="005B2821" w:rsidRPr="007D569B">
        <w:rPr>
          <w:rFonts w:cstheme="minorHAnsi"/>
          <w:sz w:val="22"/>
          <w:szCs w:val="22"/>
        </w:rPr>
        <w:t>IFC’s recommendations, but a third party consultant had found that a majority of CIFI’s projects were failing to meet environmental and social standards.</w:t>
      </w:r>
      <w:r w:rsidR="00293F81" w:rsidRPr="007D569B">
        <w:rPr>
          <w:rFonts w:cstheme="minorHAnsi"/>
          <w:sz w:val="22"/>
          <w:szCs w:val="22"/>
        </w:rPr>
        <w:t xml:space="preserve"> CIFI scored ‘partly unsatisfactory</w:t>
      </w:r>
      <w:r w:rsidR="00D30BDC" w:rsidRPr="007D569B">
        <w:rPr>
          <w:rFonts w:cstheme="minorHAnsi"/>
          <w:sz w:val="22"/>
          <w:szCs w:val="22"/>
        </w:rPr>
        <w:t>’</w:t>
      </w:r>
      <w:r w:rsidR="00293F81" w:rsidRPr="007D569B">
        <w:rPr>
          <w:rFonts w:cstheme="minorHAnsi"/>
          <w:sz w:val="22"/>
          <w:szCs w:val="22"/>
        </w:rPr>
        <w:t xml:space="preserve"> in the two subsequent IFC reviews of 2012 and 2013.</w:t>
      </w:r>
      <w:r w:rsidR="00D30BDC" w:rsidRPr="007D569B">
        <w:rPr>
          <w:rFonts w:cstheme="minorHAnsi"/>
          <w:sz w:val="22"/>
          <w:szCs w:val="22"/>
        </w:rPr>
        <w:t xml:space="preserve"> IFC noted that in nine of CIFI’s investments, there had been no reporting on environmental and social impacts.</w:t>
      </w:r>
      <w:r w:rsidR="00136FCC" w:rsidRPr="007D569B">
        <w:rPr>
          <w:rStyle w:val="FootnoteReference"/>
          <w:rFonts w:cstheme="minorHAnsi"/>
          <w:sz w:val="22"/>
          <w:szCs w:val="22"/>
        </w:rPr>
        <w:footnoteReference w:id="34"/>
      </w:r>
    </w:p>
    <w:p w14:paraId="137E9212" w14:textId="79B66E70" w:rsidR="00CE2BE3" w:rsidRPr="007D569B" w:rsidRDefault="00CE2BE3" w:rsidP="007D569B">
      <w:pPr>
        <w:spacing w:line="276" w:lineRule="auto"/>
        <w:rPr>
          <w:rFonts w:cstheme="minorHAnsi"/>
          <w:sz w:val="22"/>
          <w:szCs w:val="22"/>
        </w:rPr>
      </w:pPr>
    </w:p>
    <w:p w14:paraId="66B7BDD7" w14:textId="4D4DF108" w:rsidR="00CE2BE3" w:rsidRPr="007D569B" w:rsidRDefault="00E864D0" w:rsidP="007D569B">
      <w:pPr>
        <w:spacing w:line="276" w:lineRule="auto"/>
        <w:rPr>
          <w:rFonts w:cstheme="minorHAnsi"/>
          <w:b/>
          <w:bCs/>
          <w:i/>
          <w:iCs/>
          <w:sz w:val="22"/>
          <w:szCs w:val="22"/>
        </w:rPr>
      </w:pPr>
      <w:r w:rsidRPr="007D569B">
        <w:rPr>
          <w:rFonts w:cstheme="minorHAnsi"/>
          <w:sz w:val="22"/>
          <w:szCs w:val="22"/>
        </w:rPr>
        <w:lastRenderedPageBreak/>
        <w:t xml:space="preserve">Therefore, over the period in which its investment was disbursed, </w:t>
      </w:r>
      <w:r w:rsidR="00EC09F1" w:rsidRPr="007D569B">
        <w:rPr>
          <w:rFonts w:cstheme="minorHAnsi"/>
          <w:b/>
          <w:bCs/>
          <w:i/>
          <w:iCs/>
          <w:sz w:val="22"/>
          <w:szCs w:val="22"/>
        </w:rPr>
        <w:t>“</w:t>
      </w:r>
      <w:r w:rsidRPr="007D569B">
        <w:rPr>
          <w:rFonts w:cstheme="minorHAnsi"/>
          <w:b/>
          <w:bCs/>
          <w:i/>
          <w:iCs/>
          <w:sz w:val="22"/>
          <w:szCs w:val="22"/>
        </w:rPr>
        <w:t>CAO finds that IFC did not meet the requirements of the Sustainab</w:t>
      </w:r>
      <w:r w:rsidR="001813CB" w:rsidRPr="007D569B">
        <w:rPr>
          <w:rFonts w:cstheme="minorHAnsi"/>
          <w:b/>
          <w:bCs/>
          <w:i/>
          <w:iCs/>
          <w:sz w:val="22"/>
          <w:szCs w:val="22"/>
        </w:rPr>
        <w:t>ilit</w:t>
      </w:r>
      <w:r w:rsidRPr="007D569B">
        <w:rPr>
          <w:rFonts w:cstheme="minorHAnsi"/>
          <w:b/>
          <w:bCs/>
          <w:i/>
          <w:iCs/>
          <w:sz w:val="22"/>
          <w:szCs w:val="22"/>
        </w:rPr>
        <w:t>y Policy (para. 26) for project supervision, particularly requirements to identify and correct non-compliance with IFC’s E&amp;S requirements.”</w:t>
      </w:r>
    </w:p>
    <w:p w14:paraId="649C206C" w14:textId="33721B3B" w:rsidR="00AA5DBA" w:rsidRPr="007D569B" w:rsidRDefault="00AA5DBA" w:rsidP="007D569B">
      <w:pPr>
        <w:spacing w:line="276" w:lineRule="auto"/>
        <w:rPr>
          <w:rFonts w:cstheme="minorHAnsi"/>
          <w:b/>
          <w:bCs/>
          <w:i/>
          <w:iCs/>
          <w:sz w:val="22"/>
          <w:szCs w:val="22"/>
        </w:rPr>
      </w:pPr>
    </w:p>
    <w:p w14:paraId="3B8B68F8" w14:textId="51D75A38" w:rsidR="00AA5DBA" w:rsidRPr="007D569B" w:rsidRDefault="00AA5DBA" w:rsidP="007D569B">
      <w:pPr>
        <w:spacing w:line="276" w:lineRule="auto"/>
        <w:rPr>
          <w:rFonts w:cstheme="minorHAnsi"/>
          <w:sz w:val="22"/>
          <w:szCs w:val="22"/>
        </w:rPr>
      </w:pPr>
      <w:r w:rsidRPr="007D569B">
        <w:rPr>
          <w:rFonts w:cstheme="minorHAnsi"/>
          <w:sz w:val="22"/>
          <w:szCs w:val="22"/>
        </w:rPr>
        <w:t>Even when IFC noted problems, it did not work with the client to produce a corrective action plan until 2015 – and even then</w:t>
      </w:r>
      <w:r w:rsidR="00723B51" w:rsidRPr="007D569B">
        <w:rPr>
          <w:rFonts w:cstheme="minorHAnsi"/>
          <w:sz w:val="22"/>
          <w:szCs w:val="22"/>
        </w:rPr>
        <w:t>,</w:t>
      </w:r>
      <w:r w:rsidRPr="007D569B">
        <w:rPr>
          <w:rFonts w:cstheme="minorHAnsi"/>
          <w:sz w:val="22"/>
          <w:szCs w:val="22"/>
        </w:rPr>
        <w:t xml:space="preserve"> did not check whether it was actually being implemented.</w:t>
      </w:r>
      <w:r w:rsidRPr="007D569B">
        <w:rPr>
          <w:rStyle w:val="FootnoteReference"/>
          <w:rFonts w:cstheme="minorHAnsi"/>
          <w:sz w:val="22"/>
          <w:szCs w:val="22"/>
        </w:rPr>
        <w:footnoteReference w:id="35"/>
      </w:r>
    </w:p>
    <w:p w14:paraId="44720F94" w14:textId="77777777" w:rsidR="00AA5DBA" w:rsidRPr="007D569B" w:rsidRDefault="00AA5DBA" w:rsidP="007D569B">
      <w:pPr>
        <w:spacing w:line="276" w:lineRule="auto"/>
        <w:rPr>
          <w:rFonts w:cstheme="minorHAnsi"/>
          <w:b/>
          <w:bCs/>
          <w:sz w:val="22"/>
          <w:szCs w:val="22"/>
        </w:rPr>
      </w:pPr>
    </w:p>
    <w:p w14:paraId="687CF4AC" w14:textId="1932E8FB" w:rsidR="00AA5DBA" w:rsidRPr="007D569B" w:rsidRDefault="0092739B" w:rsidP="007D569B">
      <w:pPr>
        <w:spacing w:line="276" w:lineRule="auto"/>
        <w:rPr>
          <w:rFonts w:cstheme="minorHAnsi"/>
          <w:b/>
          <w:bCs/>
          <w:sz w:val="22"/>
          <w:szCs w:val="22"/>
        </w:rPr>
      </w:pPr>
      <w:r w:rsidRPr="007D569B">
        <w:rPr>
          <w:rFonts w:cstheme="minorHAnsi"/>
          <w:b/>
          <w:bCs/>
          <w:i/>
          <w:iCs/>
          <w:sz w:val="22"/>
          <w:szCs w:val="22"/>
        </w:rPr>
        <w:t>“</w:t>
      </w:r>
      <w:r w:rsidR="00AA5DBA" w:rsidRPr="007D569B">
        <w:rPr>
          <w:rFonts w:cstheme="minorHAnsi"/>
          <w:b/>
          <w:bCs/>
          <w:i/>
          <w:iCs/>
          <w:sz w:val="22"/>
          <w:szCs w:val="22"/>
        </w:rPr>
        <w:t xml:space="preserve">Nine years after making its investment, IFC has yet to assure itself that the client is “operating the ESMS as envisaged at the time of appraisal” or that its client has “applied the applicable performance requirements to their sub-projects” </w:t>
      </w:r>
      <w:r w:rsidR="00AA5DBA" w:rsidRPr="007D569B">
        <w:rPr>
          <w:rFonts w:cstheme="minorHAnsi"/>
          <w:sz w:val="22"/>
          <w:szCs w:val="22"/>
        </w:rPr>
        <w:t xml:space="preserve">(ESRP 9.2.6). </w:t>
      </w:r>
      <w:r w:rsidR="00AA5DBA" w:rsidRPr="007D569B">
        <w:rPr>
          <w:rFonts w:cstheme="minorHAnsi"/>
          <w:b/>
          <w:bCs/>
          <w:i/>
          <w:iCs/>
          <w:sz w:val="22"/>
          <w:szCs w:val="22"/>
        </w:rPr>
        <w:t xml:space="preserve">Further, CAO finds that IFC has taken insufficient action in a timely manner to support its client in establishing compliance with IFC’s requirements </w:t>
      </w:r>
      <w:r w:rsidR="00AA5DBA" w:rsidRPr="007D569B">
        <w:rPr>
          <w:rFonts w:cstheme="minorHAnsi"/>
          <w:sz w:val="22"/>
          <w:szCs w:val="22"/>
        </w:rPr>
        <w:t>(Sustainability Policy, para. 26).</w:t>
      </w:r>
      <w:r w:rsidRPr="007D569B">
        <w:rPr>
          <w:rFonts w:cstheme="minorHAnsi"/>
          <w:b/>
          <w:bCs/>
          <w:sz w:val="22"/>
          <w:szCs w:val="22"/>
        </w:rPr>
        <w:t>”</w:t>
      </w:r>
      <w:r w:rsidR="00281F0A">
        <w:rPr>
          <w:rStyle w:val="FootnoteReference"/>
          <w:rFonts w:cstheme="minorHAnsi"/>
          <w:b/>
          <w:bCs/>
          <w:sz w:val="22"/>
          <w:szCs w:val="22"/>
        </w:rPr>
        <w:footnoteReference w:id="36"/>
      </w:r>
    </w:p>
    <w:p w14:paraId="1F45AC93" w14:textId="4DC81865" w:rsidR="00E85A0A" w:rsidRPr="00F566ED" w:rsidRDefault="00E85A0A" w:rsidP="007D569B">
      <w:pPr>
        <w:spacing w:line="276" w:lineRule="auto"/>
        <w:rPr>
          <w:rFonts w:cstheme="minorHAnsi"/>
          <w:b/>
          <w:bCs/>
          <w:color w:val="4472C4" w:themeColor="accent1"/>
          <w:sz w:val="22"/>
          <w:szCs w:val="22"/>
        </w:rPr>
      </w:pPr>
    </w:p>
    <w:p w14:paraId="105CB19D" w14:textId="490B0ABC" w:rsidR="00F566ED" w:rsidRDefault="00F566ED" w:rsidP="007D569B">
      <w:pPr>
        <w:spacing w:line="276" w:lineRule="auto"/>
        <w:rPr>
          <w:rFonts w:cstheme="minorHAnsi"/>
          <w:b/>
          <w:bCs/>
          <w:color w:val="4472C4" w:themeColor="accent1"/>
          <w:sz w:val="22"/>
          <w:szCs w:val="22"/>
        </w:rPr>
      </w:pPr>
      <w:r w:rsidRPr="00F566ED">
        <w:rPr>
          <w:rFonts w:cstheme="minorHAnsi"/>
          <w:b/>
          <w:bCs/>
          <w:color w:val="4472C4" w:themeColor="accent1"/>
          <w:sz w:val="22"/>
          <w:szCs w:val="22"/>
        </w:rPr>
        <w:t>Responsible Exit</w:t>
      </w:r>
    </w:p>
    <w:p w14:paraId="1DC9A95A" w14:textId="77777777" w:rsidR="00F566ED" w:rsidRDefault="00F566ED" w:rsidP="00F566ED">
      <w:pPr>
        <w:spacing w:line="276" w:lineRule="auto"/>
        <w:rPr>
          <w:rFonts w:cstheme="minorHAnsi"/>
          <w:sz w:val="22"/>
          <w:szCs w:val="22"/>
        </w:rPr>
      </w:pPr>
      <w:r>
        <w:rPr>
          <w:rFonts w:cstheme="minorHAnsi"/>
          <w:sz w:val="22"/>
          <w:szCs w:val="22"/>
        </w:rPr>
        <w:t>The IFC’s response does admit some failures, for example in contextual risk analysis, monitoring of its client, and Environmental and Social supervision. Its Action Plan offers to address some systemic issues highlighted by the CIFI case: for example, by defining IFC’s approach to ‘responsible exit,’ developing guidance on incident response for FI clients and improvement of Environmental and Social Review Procedures. Such systemic efforts are welcome, as are the many reforms IFC has undertaken to improve its E&amp;S risk management in the 12 years since IFC’s investment in CIFI.</w:t>
      </w:r>
    </w:p>
    <w:p w14:paraId="5C729E50" w14:textId="77777777" w:rsidR="00F566ED" w:rsidRDefault="00F566ED" w:rsidP="00F566ED">
      <w:pPr>
        <w:spacing w:line="276" w:lineRule="auto"/>
        <w:rPr>
          <w:rFonts w:cstheme="minorHAnsi"/>
          <w:sz w:val="22"/>
          <w:szCs w:val="22"/>
        </w:rPr>
      </w:pPr>
    </w:p>
    <w:p w14:paraId="3E96BE33" w14:textId="2B10EE32" w:rsidR="00F566ED" w:rsidRDefault="00F566ED" w:rsidP="00D6246B">
      <w:pPr>
        <w:spacing w:line="276" w:lineRule="auto"/>
        <w:rPr>
          <w:rFonts w:cstheme="minorHAnsi"/>
          <w:sz w:val="22"/>
          <w:szCs w:val="22"/>
        </w:rPr>
      </w:pPr>
      <w:r>
        <w:rPr>
          <w:rFonts w:cstheme="minorHAnsi"/>
          <w:sz w:val="22"/>
          <w:szCs w:val="22"/>
        </w:rPr>
        <w:t>However, since IFC denies any link between the project and the intense violence and repression suffered by local communities, it accepts no responsibility and offers no remedy for the harms that occurred and that continue to affect communities today.</w:t>
      </w:r>
      <w:r w:rsidR="00D6246B">
        <w:rPr>
          <w:rFonts w:cstheme="minorHAnsi"/>
          <w:sz w:val="22"/>
          <w:szCs w:val="22"/>
        </w:rPr>
        <w:t xml:space="preserve"> </w:t>
      </w:r>
      <w:r>
        <w:rPr>
          <w:rFonts w:cstheme="minorHAnsi"/>
          <w:sz w:val="22"/>
          <w:szCs w:val="22"/>
        </w:rPr>
        <w:t>In its response to the CAO audit, t</w:t>
      </w:r>
      <w:r w:rsidRPr="007D569B">
        <w:rPr>
          <w:rFonts w:cstheme="minorHAnsi"/>
          <w:sz w:val="22"/>
          <w:szCs w:val="22"/>
        </w:rPr>
        <w:t xml:space="preserve">he IFC argues that there is nothing </w:t>
      </w:r>
      <w:r>
        <w:rPr>
          <w:rFonts w:cstheme="minorHAnsi"/>
          <w:sz w:val="22"/>
          <w:szCs w:val="22"/>
        </w:rPr>
        <w:t>to connect</w:t>
      </w:r>
      <w:r w:rsidRPr="007D569B">
        <w:rPr>
          <w:rFonts w:cstheme="minorHAnsi"/>
          <w:sz w:val="22"/>
          <w:szCs w:val="22"/>
        </w:rPr>
        <w:t xml:space="preserve"> the project and the company building the dam </w:t>
      </w:r>
      <w:r>
        <w:rPr>
          <w:rFonts w:cstheme="minorHAnsi"/>
          <w:sz w:val="22"/>
          <w:szCs w:val="22"/>
        </w:rPr>
        <w:t xml:space="preserve">(HSC) </w:t>
      </w:r>
      <w:r w:rsidRPr="007D569B">
        <w:rPr>
          <w:rFonts w:cstheme="minorHAnsi"/>
          <w:sz w:val="22"/>
          <w:szCs w:val="22"/>
        </w:rPr>
        <w:t>with the upsurge in repression and the state of siege declared by the Guatemalan government in May 2012. By denying this link, IFC can wash its hands of any responsibility for the suffering of local communities then and now – and therefore refuse to do anything about it in its</w:t>
      </w:r>
      <w:r>
        <w:rPr>
          <w:rFonts w:cstheme="minorHAnsi"/>
          <w:sz w:val="22"/>
          <w:szCs w:val="22"/>
        </w:rPr>
        <w:t xml:space="preserve"> Action Plan</w:t>
      </w:r>
      <w:r w:rsidRPr="007D569B">
        <w:rPr>
          <w:rFonts w:cstheme="minorHAnsi"/>
          <w:sz w:val="22"/>
          <w:szCs w:val="22"/>
        </w:rPr>
        <w:t xml:space="preserve">. </w:t>
      </w:r>
    </w:p>
    <w:p w14:paraId="32D766A3" w14:textId="77777777" w:rsidR="00F566ED" w:rsidRDefault="00F566ED" w:rsidP="007D569B">
      <w:pPr>
        <w:spacing w:line="276" w:lineRule="auto"/>
        <w:rPr>
          <w:rFonts w:cstheme="minorHAnsi"/>
          <w:color w:val="000000" w:themeColor="text1"/>
          <w:sz w:val="22"/>
          <w:szCs w:val="22"/>
        </w:rPr>
      </w:pPr>
    </w:p>
    <w:p w14:paraId="53253548" w14:textId="03F6EC64" w:rsidR="00F566ED" w:rsidRPr="00F566ED" w:rsidRDefault="00F566ED" w:rsidP="007D569B">
      <w:pPr>
        <w:spacing w:line="276" w:lineRule="auto"/>
        <w:rPr>
          <w:rFonts w:cstheme="minorHAnsi"/>
          <w:b/>
          <w:bCs/>
          <w:color w:val="000000" w:themeColor="text1"/>
          <w:sz w:val="22"/>
          <w:szCs w:val="22"/>
        </w:rPr>
      </w:pPr>
      <w:r w:rsidRPr="00F566ED">
        <w:rPr>
          <w:rFonts w:cstheme="minorHAnsi"/>
          <w:b/>
          <w:bCs/>
          <w:color w:val="000000" w:themeColor="text1"/>
          <w:sz w:val="22"/>
          <w:szCs w:val="22"/>
        </w:rPr>
        <w:t>For IFC to exit responsibly from this project, it must revise its Action Plan and offer remedy to affected communities for the harms they have suffered. The IFC must do this in consultation with the affected communities, so that their needs and wishes can be heard and addressed appropriately.</w:t>
      </w:r>
    </w:p>
    <w:p w14:paraId="2E4A5399" w14:textId="77777777" w:rsidR="00F566ED" w:rsidRPr="00F566ED" w:rsidRDefault="00F566ED" w:rsidP="007D569B">
      <w:pPr>
        <w:spacing w:line="276" w:lineRule="auto"/>
        <w:rPr>
          <w:rFonts w:cstheme="minorHAnsi"/>
          <w:b/>
          <w:bCs/>
          <w:color w:val="000000" w:themeColor="text1"/>
          <w:sz w:val="22"/>
          <w:szCs w:val="22"/>
        </w:rPr>
      </w:pPr>
    </w:p>
    <w:p w14:paraId="5A9604B0" w14:textId="0C89386F" w:rsidR="00F566ED" w:rsidRPr="00F566ED" w:rsidRDefault="00F566ED" w:rsidP="007D569B">
      <w:pPr>
        <w:spacing w:line="276" w:lineRule="auto"/>
        <w:rPr>
          <w:rFonts w:cstheme="minorHAnsi"/>
          <w:b/>
          <w:bCs/>
          <w:color w:val="000000" w:themeColor="text1"/>
          <w:sz w:val="22"/>
          <w:szCs w:val="22"/>
        </w:rPr>
      </w:pPr>
      <w:r w:rsidRPr="00F566ED">
        <w:rPr>
          <w:rFonts w:cstheme="minorHAnsi"/>
          <w:b/>
          <w:bCs/>
          <w:color w:val="000000" w:themeColor="text1"/>
          <w:sz w:val="22"/>
          <w:szCs w:val="22"/>
        </w:rPr>
        <w:t>Recourse is calling on the Board of the World Bank to ensure that IFC revises its position.</w:t>
      </w:r>
    </w:p>
    <w:sectPr w:rsidR="00F566ED" w:rsidRPr="00F566ED" w:rsidSect="001C4978">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7293" w14:textId="77777777" w:rsidR="000F7687" w:rsidRDefault="000F7687" w:rsidP="002C130E">
      <w:r>
        <w:separator/>
      </w:r>
    </w:p>
  </w:endnote>
  <w:endnote w:type="continuationSeparator" w:id="0">
    <w:p w14:paraId="18670D6F" w14:textId="77777777" w:rsidR="000F7687" w:rsidRDefault="000F7687" w:rsidP="002C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215EA" w14:textId="77777777" w:rsidR="000F7687" w:rsidRDefault="000F7687" w:rsidP="002C130E">
      <w:r>
        <w:separator/>
      </w:r>
    </w:p>
  </w:footnote>
  <w:footnote w:type="continuationSeparator" w:id="0">
    <w:p w14:paraId="08A15213" w14:textId="77777777" w:rsidR="000F7687" w:rsidRDefault="000F7687" w:rsidP="002C130E">
      <w:r>
        <w:continuationSeparator/>
      </w:r>
    </w:p>
  </w:footnote>
  <w:footnote w:id="1">
    <w:p w14:paraId="27BE5F14" w14:textId="77777777" w:rsidR="00DA043F" w:rsidRPr="00340577" w:rsidRDefault="00DA043F" w:rsidP="00DA043F">
      <w:pPr>
        <w:pStyle w:val="FootnoteText"/>
      </w:pPr>
      <w:r w:rsidRPr="00340577">
        <w:rPr>
          <w:rStyle w:val="FootnoteReference"/>
        </w:rPr>
        <w:footnoteRef/>
      </w:r>
      <w:r w:rsidRPr="00340577">
        <w:t xml:space="preserve"> See P 40.</w:t>
      </w:r>
    </w:p>
  </w:footnote>
  <w:footnote w:id="2">
    <w:p w14:paraId="3E9B53F9" w14:textId="77777777" w:rsidR="00F63B60" w:rsidRDefault="00F63B60" w:rsidP="00F63B60">
      <w:pPr>
        <w:pStyle w:val="FootnoteText"/>
      </w:pPr>
      <w:r>
        <w:rPr>
          <w:rStyle w:val="FootnoteReference"/>
        </w:rPr>
        <w:footnoteRef/>
      </w:r>
      <w:r>
        <w:t xml:space="preserve"> See P 52</w:t>
      </w:r>
    </w:p>
  </w:footnote>
  <w:footnote w:id="3">
    <w:p w14:paraId="33094BFD" w14:textId="506AC2FF" w:rsidR="00A27B8F" w:rsidRDefault="00A27B8F" w:rsidP="00A27B8F">
      <w:pPr>
        <w:pStyle w:val="FootnoteText"/>
      </w:pPr>
      <w:r>
        <w:rPr>
          <w:rStyle w:val="FootnoteReference"/>
        </w:rPr>
        <w:footnoteRef/>
      </w:r>
      <w:r>
        <w:t xml:space="preserve"> IFC Sustainability Policy (2006) </w:t>
      </w:r>
      <w:r w:rsidR="0088744A">
        <w:t>and Performance Standards.</w:t>
      </w:r>
    </w:p>
  </w:footnote>
  <w:footnote w:id="4">
    <w:p w14:paraId="2E34C76D" w14:textId="5ADD0101" w:rsidR="0068589E" w:rsidRDefault="0068589E">
      <w:pPr>
        <w:pStyle w:val="FootnoteText"/>
      </w:pPr>
      <w:r>
        <w:rPr>
          <w:rStyle w:val="FootnoteReference"/>
        </w:rPr>
        <w:footnoteRef/>
      </w:r>
      <w:r>
        <w:t xml:space="preserve"> </w:t>
      </w:r>
      <w:r w:rsidRPr="0068589E">
        <w:t>https://www.inclusivedevelopment.net/campaign/campaign-to-reform-development-lending-through-financial-intermediaries/</w:t>
      </w:r>
    </w:p>
  </w:footnote>
  <w:footnote w:id="5">
    <w:p w14:paraId="630EC9A9" w14:textId="65CCF30C" w:rsidR="00BE5F86" w:rsidRPr="00340577" w:rsidRDefault="00BE5F86">
      <w:pPr>
        <w:pStyle w:val="FootnoteText"/>
      </w:pPr>
      <w:r w:rsidRPr="00340577">
        <w:rPr>
          <w:rStyle w:val="FootnoteReference"/>
        </w:rPr>
        <w:footnoteRef/>
      </w:r>
      <w:r w:rsidRPr="00340577">
        <w:t xml:space="preserve"> The 2008 IFC investment comprised a $10 million equity investment in CIFI for a 15% stake, a $20 million loan and in addition IFC helped arrange a $48.5 million syndicated loan to CIFI. See P 10.</w:t>
      </w:r>
    </w:p>
  </w:footnote>
  <w:footnote w:id="6">
    <w:p w14:paraId="544BC358" w14:textId="79EB25FC" w:rsidR="00340577" w:rsidRDefault="00340577">
      <w:pPr>
        <w:pStyle w:val="FootnoteText"/>
      </w:pPr>
      <w:r w:rsidRPr="00340577">
        <w:rPr>
          <w:rStyle w:val="FootnoteReference"/>
        </w:rPr>
        <w:footnoteRef/>
      </w:r>
      <w:r w:rsidRPr="00340577">
        <w:t xml:space="preserve"> CIFI and </w:t>
      </w:r>
      <w:proofErr w:type="spellStart"/>
      <w:r w:rsidRPr="00340577">
        <w:t>Norfund</w:t>
      </w:r>
      <w:proofErr w:type="spellEnd"/>
      <w:r w:rsidRPr="00340577">
        <w:t xml:space="preserve"> together made debt and mezzanine finance investments of up to US$10.6 million to support the development of the </w:t>
      </w:r>
      <w:proofErr w:type="spellStart"/>
      <w:r w:rsidRPr="00340577">
        <w:t>Canbalam</w:t>
      </w:r>
      <w:proofErr w:type="spellEnd"/>
      <w:r w:rsidRPr="00340577">
        <w:t xml:space="preserve"> project. The lenders made an initial disbursement of US$3.5 million in 2011. The remaining US$7.1 million were never disbursed due to unresolved social conflicts around the project.</w:t>
      </w:r>
      <w:r>
        <w:t xml:space="preserve"> See P </w:t>
      </w:r>
      <w:r w:rsidR="00377191">
        <w:t>10.</w:t>
      </w:r>
    </w:p>
  </w:footnote>
  <w:footnote w:id="7">
    <w:p w14:paraId="234B6227" w14:textId="77777777" w:rsidR="00022731" w:rsidRDefault="00022731" w:rsidP="00022731">
      <w:pPr>
        <w:pStyle w:val="FootnoteText"/>
      </w:pPr>
      <w:r>
        <w:rPr>
          <w:rStyle w:val="FootnoteReference"/>
        </w:rPr>
        <w:footnoteRef/>
      </w:r>
      <w:r>
        <w:t xml:space="preserve"> See P 38.</w:t>
      </w:r>
    </w:p>
  </w:footnote>
  <w:footnote w:id="8">
    <w:p w14:paraId="1E013515" w14:textId="77777777" w:rsidR="00022731" w:rsidRDefault="00022731" w:rsidP="00022731">
      <w:pPr>
        <w:pStyle w:val="FootnoteText"/>
      </w:pPr>
      <w:r>
        <w:rPr>
          <w:rStyle w:val="FootnoteReference"/>
        </w:rPr>
        <w:footnoteRef/>
      </w:r>
      <w:r>
        <w:t xml:space="preserve"> See P 39.</w:t>
      </w:r>
    </w:p>
  </w:footnote>
  <w:footnote w:id="9">
    <w:p w14:paraId="049E3AC3" w14:textId="2B310E14" w:rsidR="00741E76" w:rsidRDefault="00741E76">
      <w:pPr>
        <w:pStyle w:val="FootnoteText"/>
      </w:pPr>
      <w:r>
        <w:rPr>
          <w:rStyle w:val="FootnoteReference"/>
        </w:rPr>
        <w:footnoteRef/>
      </w:r>
      <w:r>
        <w:t xml:space="preserve"> In its response the IFC claims that it set up a phone call with its client, but there is no record of that conversation. In addition, the IFC says the obligation to respond to serious incidents only applies to its direct not indirect investments, so it was only obliged to supervise its client’s response.</w:t>
      </w:r>
    </w:p>
  </w:footnote>
  <w:footnote w:id="10">
    <w:p w14:paraId="2F5E21F9" w14:textId="77777777" w:rsidR="00022731" w:rsidRDefault="00022731" w:rsidP="00022731">
      <w:pPr>
        <w:pStyle w:val="FootnoteText"/>
      </w:pPr>
      <w:r>
        <w:rPr>
          <w:rStyle w:val="FootnoteReference"/>
        </w:rPr>
        <w:footnoteRef/>
      </w:r>
      <w:r>
        <w:t xml:space="preserve"> See P 42.</w:t>
      </w:r>
    </w:p>
  </w:footnote>
  <w:footnote w:id="11">
    <w:p w14:paraId="64B1DFDB" w14:textId="77777777" w:rsidR="0006057A" w:rsidRDefault="0006057A" w:rsidP="0006057A">
      <w:pPr>
        <w:pStyle w:val="FootnoteText"/>
      </w:pPr>
      <w:r>
        <w:rPr>
          <w:rStyle w:val="FootnoteReference"/>
        </w:rPr>
        <w:footnoteRef/>
      </w:r>
      <w:r>
        <w:t xml:space="preserve"> See P 38.</w:t>
      </w:r>
    </w:p>
  </w:footnote>
  <w:footnote w:id="12">
    <w:p w14:paraId="4A4C0134" w14:textId="32F9B99B" w:rsidR="00806210" w:rsidRDefault="00806210">
      <w:pPr>
        <w:pStyle w:val="FootnoteText"/>
      </w:pPr>
      <w:r>
        <w:rPr>
          <w:rStyle w:val="FootnoteReference"/>
        </w:rPr>
        <w:footnoteRef/>
      </w:r>
      <w:r>
        <w:t xml:space="preserve"> </w:t>
      </w:r>
      <w:proofErr w:type="gramStart"/>
      <w:r>
        <w:t>Again</w:t>
      </w:r>
      <w:proofErr w:type="gramEnd"/>
      <w:r>
        <w:t xml:space="preserve"> the IFC claims in its response to have had several interactions with its client, but that its error lay in not recording those interactions.</w:t>
      </w:r>
    </w:p>
  </w:footnote>
  <w:footnote w:id="13">
    <w:p w14:paraId="71A3F1F0" w14:textId="77777777" w:rsidR="00A9235D" w:rsidRPr="001F4474" w:rsidRDefault="00A9235D" w:rsidP="00A9235D">
      <w:pPr>
        <w:pStyle w:val="FootnoteText"/>
        <w:rPr>
          <w:rFonts w:cstheme="minorHAnsi"/>
        </w:rPr>
      </w:pPr>
      <w:r>
        <w:rPr>
          <w:rStyle w:val="FootnoteReference"/>
        </w:rPr>
        <w:footnoteRef/>
      </w:r>
      <w:r>
        <w:t xml:space="preserve"> </w:t>
      </w:r>
      <w:r w:rsidRPr="00D42F7D">
        <w:t>https://www.devex.com/n</w:t>
      </w:r>
      <w:r w:rsidRPr="001F4474">
        <w:rPr>
          <w:rFonts w:cstheme="minorHAnsi"/>
        </w:rPr>
        <w:t>ews/first-test-for-world-bank-board-s-new-accountability-powers-96501</w:t>
      </w:r>
    </w:p>
  </w:footnote>
  <w:footnote w:id="14">
    <w:p w14:paraId="39857242" w14:textId="1C45C35F" w:rsidR="00A9235D" w:rsidRPr="001F4474" w:rsidRDefault="00A9235D" w:rsidP="00A9235D">
      <w:pPr>
        <w:pStyle w:val="Default"/>
        <w:spacing w:line="276" w:lineRule="auto"/>
        <w:rPr>
          <w:rFonts w:asciiTheme="minorHAnsi" w:hAnsiTheme="minorHAnsi" w:cstheme="minorHAnsi"/>
          <w:sz w:val="22"/>
          <w:szCs w:val="22"/>
        </w:rPr>
      </w:pPr>
      <w:r w:rsidRPr="001F4474">
        <w:rPr>
          <w:rStyle w:val="FootnoteReference"/>
          <w:rFonts w:asciiTheme="minorHAnsi" w:hAnsiTheme="minorHAnsi" w:cstheme="minorHAnsi"/>
          <w:sz w:val="20"/>
          <w:szCs w:val="20"/>
        </w:rPr>
        <w:footnoteRef/>
      </w:r>
      <w:r w:rsidRPr="001F4474">
        <w:rPr>
          <w:rFonts w:asciiTheme="minorHAnsi" w:hAnsiTheme="minorHAnsi" w:cstheme="minorHAnsi"/>
          <w:sz w:val="20"/>
          <w:szCs w:val="20"/>
        </w:rPr>
        <w:t xml:space="preserve"> The IFC’s re</w:t>
      </w:r>
      <w:r>
        <w:rPr>
          <w:rFonts w:asciiTheme="minorHAnsi" w:hAnsiTheme="minorHAnsi" w:cstheme="minorHAnsi"/>
          <w:sz w:val="20"/>
          <w:szCs w:val="20"/>
        </w:rPr>
        <w:t>s</w:t>
      </w:r>
      <w:r w:rsidRPr="001F4474">
        <w:rPr>
          <w:rFonts w:asciiTheme="minorHAnsi" w:hAnsiTheme="minorHAnsi" w:cstheme="minorHAnsi"/>
          <w:sz w:val="20"/>
          <w:szCs w:val="20"/>
        </w:rPr>
        <w:t>ponse claims: “Management is deeply troubled by the impacts that stemmed from the civil unrest and subsequent state of siege in Santa Cruz Barillas, while noting that these impacts have not been attributed to HSC.</w:t>
      </w:r>
      <w:r w:rsidR="0016602B">
        <w:rPr>
          <w:rFonts w:asciiTheme="minorHAnsi" w:hAnsiTheme="minorHAnsi" w:cstheme="minorHAnsi"/>
          <w:sz w:val="20"/>
          <w:szCs w:val="20"/>
        </w:rPr>
        <w:t>”</w:t>
      </w:r>
    </w:p>
  </w:footnote>
  <w:footnote w:id="15">
    <w:p w14:paraId="11C8C498" w14:textId="0394E543" w:rsidR="006E4828" w:rsidRDefault="006E4828">
      <w:pPr>
        <w:pStyle w:val="FootnoteText"/>
      </w:pPr>
      <w:r>
        <w:rPr>
          <w:rStyle w:val="FootnoteReference"/>
        </w:rPr>
        <w:footnoteRef/>
      </w:r>
      <w:r>
        <w:t xml:space="preserve"> </w:t>
      </w:r>
      <w:r w:rsidRPr="0016602B">
        <w:t xml:space="preserve">Annual report of the United Nations High Commissioner for Human Rights, Addendum Report of the United Nations High Commissioner for Human Rights on the activities of her office in Guatemala (January 7, 2013).  </w:t>
      </w:r>
    </w:p>
  </w:footnote>
  <w:footnote w:id="16">
    <w:p w14:paraId="4F7D215F" w14:textId="77777777" w:rsidR="00A9235D" w:rsidRPr="0016602B" w:rsidRDefault="00A9235D" w:rsidP="00A9235D">
      <w:pPr>
        <w:pStyle w:val="FootnoteText"/>
      </w:pPr>
      <w:r>
        <w:rPr>
          <w:rStyle w:val="FootnoteReference"/>
        </w:rPr>
        <w:footnoteRef/>
      </w:r>
      <w:r>
        <w:t xml:space="preserve"> </w:t>
      </w:r>
      <w:r w:rsidRPr="0016602B">
        <w:t xml:space="preserve">See paras 27, 28 and 50 of the Annual report of the United Nations High Commissioner for Human Rights, Addendum Report of the United Nations High Commissioner for Human Rights on the activities of her office in Guatemala (January 7, 2013).  </w:t>
      </w:r>
    </w:p>
  </w:footnote>
  <w:footnote w:id="17">
    <w:p w14:paraId="66F2ED4A" w14:textId="799FDF85" w:rsidR="00C556C7" w:rsidRPr="0016602B" w:rsidRDefault="00C556C7">
      <w:pPr>
        <w:pStyle w:val="FootnoteText"/>
      </w:pPr>
      <w:r w:rsidRPr="0016602B">
        <w:rPr>
          <w:rStyle w:val="FootnoteReference"/>
        </w:rPr>
        <w:footnoteRef/>
      </w:r>
      <w:r w:rsidRPr="0016602B">
        <w:t xml:space="preserve"> See P 40.</w:t>
      </w:r>
    </w:p>
  </w:footnote>
  <w:footnote w:id="18">
    <w:p w14:paraId="1643F4A9" w14:textId="77777777" w:rsidR="006F08B2" w:rsidRPr="0016602B" w:rsidRDefault="006F08B2" w:rsidP="006F08B2">
      <w:pPr>
        <w:pStyle w:val="FootnoteText"/>
      </w:pPr>
      <w:r w:rsidRPr="0016602B">
        <w:rPr>
          <w:rStyle w:val="FootnoteReference"/>
        </w:rPr>
        <w:footnoteRef/>
      </w:r>
      <w:r w:rsidRPr="0016602B">
        <w:t xml:space="preserve"> See P 31: Project Timeline.</w:t>
      </w:r>
    </w:p>
  </w:footnote>
  <w:footnote w:id="19">
    <w:p w14:paraId="480DB150" w14:textId="77777777" w:rsidR="006F08B2" w:rsidRPr="0016602B" w:rsidRDefault="006F08B2" w:rsidP="006F08B2">
      <w:pPr>
        <w:pStyle w:val="FootnoteText"/>
      </w:pPr>
      <w:r w:rsidRPr="0016602B">
        <w:rPr>
          <w:rStyle w:val="FootnoteReference"/>
        </w:rPr>
        <w:footnoteRef/>
      </w:r>
      <w:r w:rsidRPr="0016602B">
        <w:t xml:space="preserve"> See P 34.</w:t>
      </w:r>
    </w:p>
  </w:footnote>
  <w:footnote w:id="20">
    <w:p w14:paraId="50583390" w14:textId="77777777" w:rsidR="006F08B2" w:rsidRPr="0016602B" w:rsidRDefault="006F08B2" w:rsidP="006F08B2">
      <w:pPr>
        <w:pStyle w:val="FootnoteText"/>
      </w:pPr>
      <w:r w:rsidRPr="0016602B">
        <w:rPr>
          <w:rStyle w:val="FootnoteReference"/>
        </w:rPr>
        <w:footnoteRef/>
      </w:r>
      <w:r w:rsidRPr="0016602B">
        <w:t xml:space="preserve"> See P 34 and See Guatemala: </w:t>
      </w:r>
      <w:proofErr w:type="spellStart"/>
      <w:r w:rsidRPr="0016602B">
        <w:t>Derechos</w:t>
      </w:r>
      <w:proofErr w:type="spellEnd"/>
      <w:r w:rsidRPr="0016602B">
        <w:t xml:space="preserve"> </w:t>
      </w:r>
      <w:proofErr w:type="spellStart"/>
      <w:r w:rsidRPr="0016602B">
        <w:t>humanos</w:t>
      </w:r>
      <w:proofErr w:type="spellEnd"/>
      <w:r w:rsidRPr="0016602B">
        <w:t xml:space="preserve"> e </w:t>
      </w:r>
      <w:proofErr w:type="spellStart"/>
      <w:r w:rsidRPr="0016602B">
        <w:t>hidroeléctricas</w:t>
      </w:r>
      <w:proofErr w:type="spellEnd"/>
      <w:r w:rsidRPr="0016602B">
        <w:t xml:space="preserve"> (2017), and </w:t>
      </w:r>
      <w:proofErr w:type="spellStart"/>
      <w:r w:rsidRPr="0016602B">
        <w:t>Hegoa</w:t>
      </w:r>
      <w:proofErr w:type="spellEnd"/>
      <w:r w:rsidRPr="0016602B">
        <w:t xml:space="preserve"> Instituto de </w:t>
      </w:r>
      <w:proofErr w:type="spellStart"/>
      <w:r w:rsidRPr="0016602B">
        <w:t>Estudios</w:t>
      </w:r>
      <w:proofErr w:type="spellEnd"/>
      <w:r w:rsidRPr="0016602B">
        <w:t xml:space="preserve"> </w:t>
      </w:r>
      <w:proofErr w:type="spellStart"/>
      <w:r w:rsidRPr="0016602B">
        <w:t>sobre</w:t>
      </w:r>
      <w:proofErr w:type="spellEnd"/>
      <w:r w:rsidRPr="0016602B">
        <w:t xml:space="preserve"> Desarrollo y </w:t>
      </w:r>
      <w:proofErr w:type="spellStart"/>
      <w:r w:rsidRPr="0016602B">
        <w:t>Cooperación</w:t>
      </w:r>
      <w:proofErr w:type="spellEnd"/>
      <w:r w:rsidRPr="0016602B">
        <w:t xml:space="preserve"> </w:t>
      </w:r>
      <w:proofErr w:type="spellStart"/>
      <w:r w:rsidRPr="0016602B">
        <w:t>Internacional</w:t>
      </w:r>
      <w:proofErr w:type="spellEnd"/>
      <w:r w:rsidRPr="0016602B">
        <w:t xml:space="preserve"> &amp; Universidad del País Vasco (2012) La </w:t>
      </w:r>
      <w:proofErr w:type="spellStart"/>
      <w:r w:rsidRPr="0016602B">
        <w:t>presencia</w:t>
      </w:r>
      <w:proofErr w:type="spellEnd"/>
      <w:r w:rsidRPr="0016602B">
        <w:t xml:space="preserve"> de </w:t>
      </w:r>
      <w:proofErr w:type="spellStart"/>
      <w:r w:rsidRPr="0016602B">
        <w:t>Hidro</w:t>
      </w:r>
      <w:proofErr w:type="spellEnd"/>
      <w:r w:rsidRPr="0016602B">
        <w:t xml:space="preserve"> Santa Cruz </w:t>
      </w:r>
      <w:proofErr w:type="spellStart"/>
      <w:r w:rsidRPr="0016602B">
        <w:t>en</w:t>
      </w:r>
      <w:proofErr w:type="spellEnd"/>
      <w:r w:rsidRPr="0016602B">
        <w:t xml:space="preserve"> Barillas: Una </w:t>
      </w:r>
      <w:proofErr w:type="spellStart"/>
      <w:r w:rsidRPr="0016602B">
        <w:t>historia</w:t>
      </w:r>
      <w:proofErr w:type="spellEnd"/>
      <w:r w:rsidRPr="0016602B">
        <w:t xml:space="preserve"> de </w:t>
      </w:r>
      <w:proofErr w:type="spellStart"/>
      <w:r w:rsidRPr="0016602B">
        <w:t>imposición</w:t>
      </w:r>
      <w:proofErr w:type="spellEnd"/>
      <w:r w:rsidRPr="0016602B">
        <w:t xml:space="preserve"> y </w:t>
      </w:r>
      <w:proofErr w:type="spellStart"/>
      <w:r w:rsidRPr="0016602B">
        <w:t>violencia</w:t>
      </w:r>
      <w:proofErr w:type="spellEnd"/>
      <w:r w:rsidRPr="0016602B">
        <w:t xml:space="preserve">; available at: https://goo.gl/7qKji0.  </w:t>
      </w:r>
    </w:p>
  </w:footnote>
  <w:footnote w:id="21">
    <w:p w14:paraId="62BEEB8F" w14:textId="77777777" w:rsidR="006F08B2" w:rsidRDefault="006F08B2" w:rsidP="006F08B2">
      <w:pPr>
        <w:pStyle w:val="FootnoteText"/>
      </w:pPr>
      <w:r w:rsidRPr="0016602B">
        <w:rPr>
          <w:rStyle w:val="FootnoteReference"/>
        </w:rPr>
        <w:footnoteRef/>
      </w:r>
      <w:r w:rsidRPr="0016602B">
        <w:t xml:space="preserve"> See P 35.</w:t>
      </w:r>
    </w:p>
  </w:footnote>
  <w:footnote w:id="22">
    <w:p w14:paraId="7EBFBCD8" w14:textId="61C20C3F" w:rsidR="00495F01" w:rsidRPr="00032A94" w:rsidRDefault="00495F01" w:rsidP="00A057D6">
      <w:pPr>
        <w:pStyle w:val="FootnoteText"/>
      </w:pPr>
      <w:r>
        <w:rPr>
          <w:rStyle w:val="FootnoteReference"/>
        </w:rPr>
        <w:footnoteRef/>
      </w:r>
      <w:r>
        <w:t xml:space="preserve"> </w:t>
      </w:r>
      <w:r w:rsidRPr="0016602B">
        <w:t>See pages 35-36.</w:t>
      </w:r>
    </w:p>
  </w:footnote>
  <w:footnote w:id="23">
    <w:p w14:paraId="0B22DB80" w14:textId="6D091970" w:rsidR="00032A94" w:rsidRDefault="00032A94" w:rsidP="00A057D6">
      <w:pPr>
        <w:pStyle w:val="FootnoteText"/>
      </w:pPr>
      <w:r w:rsidRPr="00032A94">
        <w:rPr>
          <w:rStyle w:val="FootnoteReference"/>
        </w:rPr>
        <w:footnoteRef/>
      </w:r>
      <w:r w:rsidRPr="00032A94">
        <w:t xml:space="preserve"> The IFC’s response states “</w:t>
      </w:r>
      <w:r w:rsidRPr="00032A94">
        <w:rPr>
          <w:rFonts w:cstheme="minorHAnsi"/>
          <w:color w:val="000000"/>
        </w:rPr>
        <w:t>Management agrees with CAO that a formal Environmental and Social Action Plan (ESAP) should have been included in the legal documentation but notes that alternative contractual provisions were included to the same effect.”</w:t>
      </w:r>
      <w:r w:rsidR="00EA5D99">
        <w:rPr>
          <w:rFonts w:cstheme="minorHAnsi"/>
          <w:color w:val="000000"/>
        </w:rPr>
        <w:t xml:space="preserve"> “</w:t>
      </w:r>
      <w:r w:rsidR="00EA5D99" w:rsidRPr="00EA5D99">
        <w:rPr>
          <w:rFonts w:cstheme="minorHAnsi"/>
          <w:color w:val="000000"/>
        </w:rPr>
        <w:t>In hindsight, the social baseline study should have been more extensive in assessing indigenous communities living in the area.</w:t>
      </w:r>
      <w:r w:rsidR="00EA5D99">
        <w:rPr>
          <w:rFonts w:cstheme="minorHAnsi"/>
          <w:color w:val="000000"/>
        </w:rPr>
        <w:t>”</w:t>
      </w:r>
    </w:p>
  </w:footnote>
  <w:footnote w:id="24">
    <w:p w14:paraId="66F7D38D" w14:textId="77777777" w:rsidR="00287460" w:rsidRPr="0016602B" w:rsidRDefault="00287460" w:rsidP="00A057D6">
      <w:pPr>
        <w:pStyle w:val="FootnoteText"/>
      </w:pPr>
      <w:r w:rsidRPr="0016602B">
        <w:rPr>
          <w:rStyle w:val="FootnoteReference"/>
        </w:rPr>
        <w:footnoteRef/>
      </w:r>
      <w:r w:rsidRPr="0016602B">
        <w:t xml:space="preserve"> See P 38.</w:t>
      </w:r>
    </w:p>
  </w:footnote>
  <w:footnote w:id="25">
    <w:p w14:paraId="43417065" w14:textId="07B43E19" w:rsidR="007D2F78" w:rsidRPr="0016602B" w:rsidRDefault="007D2F78" w:rsidP="00A057D6">
      <w:pPr>
        <w:pStyle w:val="FootnoteText"/>
      </w:pPr>
      <w:r w:rsidRPr="0016602B">
        <w:rPr>
          <w:rStyle w:val="FootnoteReference"/>
        </w:rPr>
        <w:footnoteRef/>
      </w:r>
      <w:r w:rsidRPr="0016602B">
        <w:t xml:space="preserve"> See P 19-20</w:t>
      </w:r>
      <w:r w:rsidR="0090785B" w:rsidRPr="0016602B">
        <w:t>.</w:t>
      </w:r>
    </w:p>
  </w:footnote>
  <w:footnote w:id="26">
    <w:p w14:paraId="5F23497B" w14:textId="098833EB" w:rsidR="002C130E" w:rsidRPr="0016602B" w:rsidRDefault="002C130E" w:rsidP="00A057D6">
      <w:pPr>
        <w:pStyle w:val="FootnoteText"/>
      </w:pPr>
      <w:r w:rsidRPr="0016602B">
        <w:rPr>
          <w:rStyle w:val="FootnoteReference"/>
        </w:rPr>
        <w:footnoteRef/>
      </w:r>
      <w:r w:rsidRPr="0016602B">
        <w:t xml:space="preserve"> P 19: “At the time, CAO notes that the client did not have a dedicated E&amp;S officer. Rather, investment staff had responsibility for implementing the ESMS.”</w:t>
      </w:r>
    </w:p>
  </w:footnote>
  <w:footnote w:id="27">
    <w:p w14:paraId="1867FAF4" w14:textId="77777777" w:rsidR="001341BE" w:rsidRPr="0016602B" w:rsidRDefault="001341BE" w:rsidP="00A057D6">
      <w:pPr>
        <w:pStyle w:val="FootnoteText"/>
      </w:pPr>
      <w:r w:rsidRPr="0016602B">
        <w:rPr>
          <w:rStyle w:val="FootnoteReference"/>
        </w:rPr>
        <w:footnoteRef/>
      </w:r>
      <w:r w:rsidRPr="0016602B">
        <w:t xml:space="preserve"> P 20: “In the context where the client had 26 medium to high E&amp;S risk investments, IFC did not consider whether: (a) the client had sufficient staff capacity to implement its ESMS; or (b) giving investment staff responsibility for ESMS oversight risk presented a conflict of interest.”</w:t>
      </w:r>
    </w:p>
  </w:footnote>
  <w:footnote w:id="28">
    <w:p w14:paraId="51CF5753" w14:textId="71EE21F5" w:rsidR="002C130E" w:rsidRPr="0016602B" w:rsidRDefault="002C130E" w:rsidP="00A057D6">
      <w:pPr>
        <w:pStyle w:val="FootnoteText"/>
      </w:pPr>
      <w:r w:rsidRPr="0016602B">
        <w:rPr>
          <w:rStyle w:val="FootnoteReference"/>
        </w:rPr>
        <w:footnoteRef/>
      </w:r>
      <w:r w:rsidRPr="0016602B">
        <w:t xml:space="preserve"> P 19: “IFC did not document a review of the adequacy of CIFI’s E&amp;S assessments or its monitoring of its portfolio. IFC did not conduct a review of the client’s capacity to implement its ESMS.”</w:t>
      </w:r>
    </w:p>
  </w:footnote>
  <w:footnote w:id="29">
    <w:p w14:paraId="778FB00B" w14:textId="750B519D" w:rsidR="00E21E5B" w:rsidRPr="0016602B" w:rsidRDefault="00E21E5B" w:rsidP="00A057D6">
      <w:pPr>
        <w:pStyle w:val="FootnoteText"/>
      </w:pPr>
      <w:r w:rsidRPr="0016602B">
        <w:rPr>
          <w:rStyle w:val="FootnoteReference"/>
        </w:rPr>
        <w:footnoteRef/>
      </w:r>
      <w:r w:rsidRPr="0016602B">
        <w:t xml:space="preserve"> P 20: IFC’s E&amp;S review did not include a documented assessment of the client’s ESMS implementation track record</w:t>
      </w:r>
      <w:r w:rsidR="0020132F" w:rsidRPr="0016602B">
        <w:t>…. IFC did not document a review of client track record of assessing and monitoring E&amp;S risk.”</w:t>
      </w:r>
    </w:p>
  </w:footnote>
  <w:footnote w:id="30">
    <w:p w14:paraId="7998A74B" w14:textId="5630F5B6" w:rsidR="0016602B" w:rsidRPr="00A057D6" w:rsidRDefault="0016602B" w:rsidP="00A057D6">
      <w:pPr>
        <w:autoSpaceDE w:val="0"/>
        <w:autoSpaceDN w:val="0"/>
        <w:adjustRightInd w:val="0"/>
        <w:rPr>
          <w:rFonts w:cstheme="minorHAnsi"/>
          <w:color w:val="000000"/>
          <w:sz w:val="20"/>
          <w:szCs w:val="20"/>
        </w:rPr>
      </w:pPr>
      <w:r w:rsidRPr="00A057D6">
        <w:rPr>
          <w:rStyle w:val="FootnoteReference"/>
          <w:sz w:val="20"/>
          <w:szCs w:val="20"/>
        </w:rPr>
        <w:footnoteRef/>
      </w:r>
      <w:r w:rsidRPr="00A057D6">
        <w:rPr>
          <w:sz w:val="20"/>
          <w:szCs w:val="20"/>
        </w:rPr>
        <w:t xml:space="preserve"> The IFC’s response states, “</w:t>
      </w:r>
      <w:r w:rsidRPr="00A057D6">
        <w:rPr>
          <w:rFonts w:cstheme="minorHAnsi"/>
          <w:color w:val="000000"/>
          <w:sz w:val="20"/>
          <w:szCs w:val="20"/>
        </w:rPr>
        <w:t xml:space="preserve">Management agrees that its environmental and social due diligence of CIFI could have been better documented. </w:t>
      </w:r>
      <w:r w:rsidRPr="00A057D6">
        <w:rPr>
          <w:rFonts w:cstheme="minorHAnsi"/>
          <w:sz w:val="20"/>
          <w:szCs w:val="20"/>
        </w:rPr>
        <w:t>But contends: “Management is of the view that IFC’s due diligence of CIFI’s ESMS track record was in accordance with procedures at that time and commensurate with the E&amp;S risks identified.” Evidence offered for this: “A sample of environmental and social due diligence (ESDD) reports conducted by CIFI on its sub-project investments was reviewed by IFC, consistent with the practice codified in the E&amp;S review procedures at the time.”</w:t>
      </w:r>
    </w:p>
  </w:footnote>
  <w:footnote w:id="31">
    <w:p w14:paraId="2AAC6470" w14:textId="027BAAFC" w:rsidR="007C50AF" w:rsidRPr="00A057D6" w:rsidRDefault="007C50AF" w:rsidP="00A057D6">
      <w:pPr>
        <w:pStyle w:val="FootnoteText"/>
      </w:pPr>
      <w:r w:rsidRPr="00A057D6">
        <w:rPr>
          <w:rStyle w:val="FootnoteReference"/>
        </w:rPr>
        <w:footnoteRef/>
      </w:r>
      <w:r w:rsidRPr="00A057D6">
        <w:t xml:space="preserve"> See P 27.</w:t>
      </w:r>
    </w:p>
  </w:footnote>
  <w:footnote w:id="32">
    <w:p w14:paraId="40D3C1F1" w14:textId="70D1EDD8" w:rsidR="00306FE1" w:rsidRPr="00A057D6" w:rsidRDefault="00306FE1" w:rsidP="00A057D6">
      <w:pPr>
        <w:pStyle w:val="FootnoteText"/>
      </w:pPr>
      <w:r w:rsidRPr="00A057D6">
        <w:rPr>
          <w:rStyle w:val="FootnoteReference"/>
        </w:rPr>
        <w:footnoteRef/>
      </w:r>
      <w:r w:rsidRPr="00A057D6">
        <w:t xml:space="preserve"> P 25: “IFC raised concerns that the client: (a) invested in a number of projects without requiring E&amp;S reporting; (b) disbursed to several projects where the E&amp;S assessment of the project was incomplete and/or E&amp;S requirements had not been fulfilled prior to disbursement; (c) classified one project Category B, while IFC categorized it as Category A; and (d) had taken insufficient action in response to very significant E&amp;S non-compliances with some of its projects. IFC also raised concerns regarding the recommendation made by the client’s E&amp;S consultant, that the client apply the PS to project finance transactions and high-risk projects, rather than across all investments. IFC noted that accepting this recommendation would violate IFC’s legal agreement with the client. Subsequently, IFC followed up with the client in relation to 15 projects where E&amp;S compliance concerns were noted.”</w:t>
      </w:r>
    </w:p>
  </w:footnote>
  <w:footnote w:id="33">
    <w:p w14:paraId="02127DAF" w14:textId="0F361847" w:rsidR="005B2821" w:rsidRPr="00A057D6" w:rsidRDefault="005B2821" w:rsidP="00A057D6">
      <w:pPr>
        <w:pStyle w:val="FootnoteText"/>
      </w:pPr>
      <w:r w:rsidRPr="00A057D6">
        <w:rPr>
          <w:rStyle w:val="FootnoteReference"/>
        </w:rPr>
        <w:footnoteRef/>
      </w:r>
      <w:r w:rsidRPr="00A057D6">
        <w:t xml:space="preserve"> P 25: “In its review, IFC noted a deterioration in the client’s E&amp;S performance and provided an ESRR score of F4-Unsatisfactory. IFC noted that feedback provided to the client following IFC’s 2010 AEPR Review had not been implemented.” </w:t>
      </w:r>
    </w:p>
  </w:footnote>
  <w:footnote w:id="34">
    <w:p w14:paraId="68589BE9" w14:textId="4311CB24" w:rsidR="00136FCC" w:rsidRDefault="00136FCC" w:rsidP="00A057D6">
      <w:pPr>
        <w:pStyle w:val="FootnoteText"/>
      </w:pPr>
      <w:r w:rsidRPr="00A057D6">
        <w:rPr>
          <w:rStyle w:val="FootnoteReference"/>
        </w:rPr>
        <w:footnoteRef/>
      </w:r>
      <w:r w:rsidRPr="00A057D6">
        <w:t xml:space="preserve"> P 26: “IFC raised concern that nine client investments did not provide E&amp;S reporting to the client and 25 investments had potentially significant E&amp;S issues.”</w:t>
      </w:r>
    </w:p>
  </w:footnote>
  <w:footnote w:id="35">
    <w:p w14:paraId="2C8E9116" w14:textId="176184DE" w:rsidR="00AA5DBA" w:rsidRPr="00ED2123" w:rsidRDefault="00AA5DBA">
      <w:pPr>
        <w:pStyle w:val="FootnoteText"/>
        <w:rPr>
          <w:rFonts w:cstheme="minorHAnsi"/>
        </w:rPr>
      </w:pPr>
      <w:r w:rsidRPr="00ED2123">
        <w:rPr>
          <w:rStyle w:val="FootnoteReference"/>
        </w:rPr>
        <w:footnoteRef/>
      </w:r>
      <w:r w:rsidRPr="00ED2123">
        <w:t xml:space="preserve"> P 28: “While IFC provided feedback to the client on its AEPR and met on several occasions to discuss its E&amp;S performance, these interactions did not result </w:t>
      </w:r>
      <w:r w:rsidRPr="00ED2123">
        <w:rPr>
          <w:rFonts w:cstheme="minorHAnsi"/>
        </w:rPr>
        <w:t>in the development of an agreed corrective action plan. While a corrective action plan was agreed in late 2015, IFC has not assured itself that this was fully implemented…”</w:t>
      </w:r>
    </w:p>
  </w:footnote>
  <w:footnote w:id="36">
    <w:p w14:paraId="5120A014" w14:textId="74519641" w:rsidR="00281F0A" w:rsidRPr="00281F0A" w:rsidRDefault="00281F0A" w:rsidP="00281F0A">
      <w:pPr>
        <w:autoSpaceDE w:val="0"/>
        <w:autoSpaceDN w:val="0"/>
        <w:adjustRightInd w:val="0"/>
        <w:rPr>
          <w:rFonts w:ascii="Times New Roman" w:hAnsi="Times New Roman" w:cs="Times New Roman"/>
          <w:color w:val="000000"/>
          <w:sz w:val="23"/>
          <w:szCs w:val="23"/>
        </w:rPr>
      </w:pPr>
      <w:r w:rsidRPr="00ED2123">
        <w:rPr>
          <w:rStyle w:val="FootnoteReference"/>
          <w:rFonts w:cstheme="minorHAnsi"/>
          <w:sz w:val="20"/>
          <w:szCs w:val="20"/>
        </w:rPr>
        <w:footnoteRef/>
      </w:r>
      <w:r w:rsidRPr="00ED2123">
        <w:rPr>
          <w:rFonts w:cstheme="minorHAnsi"/>
          <w:sz w:val="20"/>
          <w:szCs w:val="20"/>
        </w:rPr>
        <w:t xml:space="preserve"> The IFC’s response claims “</w:t>
      </w:r>
      <w:r w:rsidRPr="00ED2123">
        <w:rPr>
          <w:rFonts w:cstheme="minorHAnsi"/>
          <w:color w:val="000000"/>
          <w:sz w:val="20"/>
          <w:szCs w:val="20"/>
        </w:rPr>
        <w:t>Management notes that, despite identified performance issues along the way, CIFI’s E&amp;S risk management systems and capacity improved significantly between 2008 when IFC invested and 2019 when it exited.”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3F0C40"/>
    <w:multiLevelType w:val="hybridMultilevel"/>
    <w:tmpl w:val="67D9C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88B378"/>
    <w:multiLevelType w:val="hybridMultilevel"/>
    <w:tmpl w:val="A9E5D4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C93528"/>
    <w:multiLevelType w:val="hybridMultilevel"/>
    <w:tmpl w:val="63B2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1D253"/>
    <w:multiLevelType w:val="hybridMultilevel"/>
    <w:tmpl w:val="38C252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42F63E"/>
    <w:multiLevelType w:val="hybridMultilevel"/>
    <w:tmpl w:val="C3EAE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E13611"/>
    <w:multiLevelType w:val="hybridMultilevel"/>
    <w:tmpl w:val="25988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B4BDE"/>
    <w:multiLevelType w:val="hybridMultilevel"/>
    <w:tmpl w:val="E113D5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EF0B4E"/>
    <w:multiLevelType w:val="hybridMultilevel"/>
    <w:tmpl w:val="4850B918"/>
    <w:lvl w:ilvl="0" w:tplc="32229E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60101"/>
    <w:multiLevelType w:val="hybridMultilevel"/>
    <w:tmpl w:val="80C47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2732A9"/>
    <w:multiLevelType w:val="hybridMultilevel"/>
    <w:tmpl w:val="BD5E31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0B4DC"/>
    <w:multiLevelType w:val="hybridMultilevel"/>
    <w:tmpl w:val="2C8C9583"/>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A521FCB"/>
    <w:multiLevelType w:val="hybridMultilevel"/>
    <w:tmpl w:val="65CE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0"/>
  </w:num>
  <w:num w:numId="7">
    <w:abstractNumId w:val="6"/>
  </w:num>
  <w:num w:numId="8">
    <w:abstractNumId w:val="2"/>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C9"/>
    <w:rsid w:val="00014678"/>
    <w:rsid w:val="00017C10"/>
    <w:rsid w:val="00022731"/>
    <w:rsid w:val="00023295"/>
    <w:rsid w:val="00032A94"/>
    <w:rsid w:val="00045508"/>
    <w:rsid w:val="00053CC1"/>
    <w:rsid w:val="0006057A"/>
    <w:rsid w:val="000606CF"/>
    <w:rsid w:val="00060AEB"/>
    <w:rsid w:val="000615C9"/>
    <w:rsid w:val="00074BF2"/>
    <w:rsid w:val="000A5C39"/>
    <w:rsid w:val="000C020D"/>
    <w:rsid w:val="000C649C"/>
    <w:rsid w:val="000E1ABE"/>
    <w:rsid w:val="000F3362"/>
    <w:rsid w:val="000F55DC"/>
    <w:rsid w:val="000F7687"/>
    <w:rsid w:val="00102FC1"/>
    <w:rsid w:val="0013344B"/>
    <w:rsid w:val="001341BE"/>
    <w:rsid w:val="00136FCC"/>
    <w:rsid w:val="00141A86"/>
    <w:rsid w:val="00143F44"/>
    <w:rsid w:val="00145C52"/>
    <w:rsid w:val="00150CEF"/>
    <w:rsid w:val="001532F6"/>
    <w:rsid w:val="001605B7"/>
    <w:rsid w:val="0016602B"/>
    <w:rsid w:val="0017719F"/>
    <w:rsid w:val="001813CB"/>
    <w:rsid w:val="00186F95"/>
    <w:rsid w:val="00187B63"/>
    <w:rsid w:val="001A28E1"/>
    <w:rsid w:val="001B20EC"/>
    <w:rsid w:val="001C4978"/>
    <w:rsid w:val="001E2AB5"/>
    <w:rsid w:val="001F1E3C"/>
    <w:rsid w:val="001F4474"/>
    <w:rsid w:val="00200D64"/>
    <w:rsid w:val="0020132F"/>
    <w:rsid w:val="00214DB4"/>
    <w:rsid w:val="002412B5"/>
    <w:rsid w:val="0028076D"/>
    <w:rsid w:val="00281F0A"/>
    <w:rsid w:val="00283071"/>
    <w:rsid w:val="00287460"/>
    <w:rsid w:val="002927F3"/>
    <w:rsid w:val="00293F81"/>
    <w:rsid w:val="002A6DBF"/>
    <w:rsid w:val="002C130E"/>
    <w:rsid w:val="002D4804"/>
    <w:rsid w:val="002D6E58"/>
    <w:rsid w:val="002F6DF9"/>
    <w:rsid w:val="00306FE1"/>
    <w:rsid w:val="003134C7"/>
    <w:rsid w:val="00315587"/>
    <w:rsid w:val="00320F94"/>
    <w:rsid w:val="003275C9"/>
    <w:rsid w:val="00333574"/>
    <w:rsid w:val="00340577"/>
    <w:rsid w:val="003452ED"/>
    <w:rsid w:val="0035384D"/>
    <w:rsid w:val="00357C8A"/>
    <w:rsid w:val="003670FB"/>
    <w:rsid w:val="00377191"/>
    <w:rsid w:val="00380912"/>
    <w:rsid w:val="00380C2A"/>
    <w:rsid w:val="003C775C"/>
    <w:rsid w:val="003E5B1F"/>
    <w:rsid w:val="0043744A"/>
    <w:rsid w:val="00490E4E"/>
    <w:rsid w:val="0049284B"/>
    <w:rsid w:val="00495F01"/>
    <w:rsid w:val="004A7380"/>
    <w:rsid w:val="004B50B7"/>
    <w:rsid w:val="004D45E7"/>
    <w:rsid w:val="004E1480"/>
    <w:rsid w:val="004F74C9"/>
    <w:rsid w:val="00501F4A"/>
    <w:rsid w:val="00520514"/>
    <w:rsid w:val="005216E6"/>
    <w:rsid w:val="00534DEF"/>
    <w:rsid w:val="00556AF4"/>
    <w:rsid w:val="00575A75"/>
    <w:rsid w:val="0058094F"/>
    <w:rsid w:val="00585F42"/>
    <w:rsid w:val="0059637C"/>
    <w:rsid w:val="005A2892"/>
    <w:rsid w:val="005A4E5C"/>
    <w:rsid w:val="005B2821"/>
    <w:rsid w:val="005B4BB6"/>
    <w:rsid w:val="005C1ABA"/>
    <w:rsid w:val="005F0CCE"/>
    <w:rsid w:val="00621DBA"/>
    <w:rsid w:val="00664069"/>
    <w:rsid w:val="00672007"/>
    <w:rsid w:val="0068589E"/>
    <w:rsid w:val="00686FB7"/>
    <w:rsid w:val="00695750"/>
    <w:rsid w:val="00696A72"/>
    <w:rsid w:val="006B184D"/>
    <w:rsid w:val="006B2D84"/>
    <w:rsid w:val="006D41D0"/>
    <w:rsid w:val="006D438D"/>
    <w:rsid w:val="006E4828"/>
    <w:rsid w:val="006F08B2"/>
    <w:rsid w:val="006F2FD4"/>
    <w:rsid w:val="00705181"/>
    <w:rsid w:val="00720309"/>
    <w:rsid w:val="00723B51"/>
    <w:rsid w:val="00725664"/>
    <w:rsid w:val="00740098"/>
    <w:rsid w:val="00741E76"/>
    <w:rsid w:val="0074337B"/>
    <w:rsid w:val="007500A6"/>
    <w:rsid w:val="0075351E"/>
    <w:rsid w:val="00753C1B"/>
    <w:rsid w:val="00754195"/>
    <w:rsid w:val="007554F6"/>
    <w:rsid w:val="00760AD0"/>
    <w:rsid w:val="00771AFB"/>
    <w:rsid w:val="0077780A"/>
    <w:rsid w:val="0078005E"/>
    <w:rsid w:val="00790C9D"/>
    <w:rsid w:val="007A215C"/>
    <w:rsid w:val="007C50AF"/>
    <w:rsid w:val="007D2F78"/>
    <w:rsid w:val="007D569B"/>
    <w:rsid w:val="007F00E0"/>
    <w:rsid w:val="00801E53"/>
    <w:rsid w:val="00806210"/>
    <w:rsid w:val="0082259D"/>
    <w:rsid w:val="00834E0C"/>
    <w:rsid w:val="008539E5"/>
    <w:rsid w:val="0088532A"/>
    <w:rsid w:val="0088744A"/>
    <w:rsid w:val="008A0F6D"/>
    <w:rsid w:val="008B026D"/>
    <w:rsid w:val="008E19BF"/>
    <w:rsid w:val="008F1B36"/>
    <w:rsid w:val="008F4244"/>
    <w:rsid w:val="00905B85"/>
    <w:rsid w:val="0090785B"/>
    <w:rsid w:val="0092739B"/>
    <w:rsid w:val="009379C7"/>
    <w:rsid w:val="00940E64"/>
    <w:rsid w:val="00962939"/>
    <w:rsid w:val="0096775F"/>
    <w:rsid w:val="00985D21"/>
    <w:rsid w:val="00A057D6"/>
    <w:rsid w:val="00A151C0"/>
    <w:rsid w:val="00A27B8F"/>
    <w:rsid w:val="00A422AE"/>
    <w:rsid w:val="00A77B0A"/>
    <w:rsid w:val="00A8595D"/>
    <w:rsid w:val="00A87786"/>
    <w:rsid w:val="00A9235D"/>
    <w:rsid w:val="00A95FEA"/>
    <w:rsid w:val="00AA5DBA"/>
    <w:rsid w:val="00AB16E6"/>
    <w:rsid w:val="00B02EDB"/>
    <w:rsid w:val="00B03549"/>
    <w:rsid w:val="00B109C9"/>
    <w:rsid w:val="00B1433E"/>
    <w:rsid w:val="00B145B1"/>
    <w:rsid w:val="00B31609"/>
    <w:rsid w:val="00B64AE9"/>
    <w:rsid w:val="00B64D42"/>
    <w:rsid w:val="00BA0144"/>
    <w:rsid w:val="00BA0758"/>
    <w:rsid w:val="00BA5F3D"/>
    <w:rsid w:val="00BA77BE"/>
    <w:rsid w:val="00BB6685"/>
    <w:rsid w:val="00BC594E"/>
    <w:rsid w:val="00BE5F86"/>
    <w:rsid w:val="00BF4592"/>
    <w:rsid w:val="00C07115"/>
    <w:rsid w:val="00C14834"/>
    <w:rsid w:val="00C24A62"/>
    <w:rsid w:val="00C31A0A"/>
    <w:rsid w:val="00C36826"/>
    <w:rsid w:val="00C47C9D"/>
    <w:rsid w:val="00C556C7"/>
    <w:rsid w:val="00C649E5"/>
    <w:rsid w:val="00C7400A"/>
    <w:rsid w:val="00C96ECF"/>
    <w:rsid w:val="00CB0602"/>
    <w:rsid w:val="00CB0709"/>
    <w:rsid w:val="00CB2551"/>
    <w:rsid w:val="00CC0E3B"/>
    <w:rsid w:val="00CD2458"/>
    <w:rsid w:val="00CD768A"/>
    <w:rsid w:val="00CE2BE3"/>
    <w:rsid w:val="00CE685E"/>
    <w:rsid w:val="00CF0C38"/>
    <w:rsid w:val="00CF74C0"/>
    <w:rsid w:val="00D05120"/>
    <w:rsid w:val="00D13B3A"/>
    <w:rsid w:val="00D2585C"/>
    <w:rsid w:val="00D30BDC"/>
    <w:rsid w:val="00D3321D"/>
    <w:rsid w:val="00D42F7D"/>
    <w:rsid w:val="00D5342D"/>
    <w:rsid w:val="00D6246B"/>
    <w:rsid w:val="00D73608"/>
    <w:rsid w:val="00D84EBC"/>
    <w:rsid w:val="00D87458"/>
    <w:rsid w:val="00D874CC"/>
    <w:rsid w:val="00D911C8"/>
    <w:rsid w:val="00DA043F"/>
    <w:rsid w:val="00DA236D"/>
    <w:rsid w:val="00DA3D4C"/>
    <w:rsid w:val="00DB2D02"/>
    <w:rsid w:val="00DE2C6A"/>
    <w:rsid w:val="00DF66F9"/>
    <w:rsid w:val="00E01641"/>
    <w:rsid w:val="00E21E5B"/>
    <w:rsid w:val="00E2633B"/>
    <w:rsid w:val="00E51867"/>
    <w:rsid w:val="00E65A67"/>
    <w:rsid w:val="00E666F0"/>
    <w:rsid w:val="00E85A0A"/>
    <w:rsid w:val="00E864D0"/>
    <w:rsid w:val="00E914BE"/>
    <w:rsid w:val="00EA5D99"/>
    <w:rsid w:val="00EC09F1"/>
    <w:rsid w:val="00ED2123"/>
    <w:rsid w:val="00EE0E9C"/>
    <w:rsid w:val="00EE49DC"/>
    <w:rsid w:val="00EE6639"/>
    <w:rsid w:val="00EF1E11"/>
    <w:rsid w:val="00EF5629"/>
    <w:rsid w:val="00F06B6C"/>
    <w:rsid w:val="00F1068A"/>
    <w:rsid w:val="00F2287C"/>
    <w:rsid w:val="00F248EE"/>
    <w:rsid w:val="00F24FAD"/>
    <w:rsid w:val="00F4080E"/>
    <w:rsid w:val="00F47119"/>
    <w:rsid w:val="00F566ED"/>
    <w:rsid w:val="00F63B60"/>
    <w:rsid w:val="00FC2C9E"/>
    <w:rsid w:val="00FD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BE20C4"/>
  <w15:chartTrackingRefBased/>
  <w15:docId w15:val="{BA444736-B124-D14D-8F37-0E5D5AD0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0E"/>
    <w:pPr>
      <w:ind w:left="720"/>
      <w:contextualSpacing/>
    </w:pPr>
  </w:style>
  <w:style w:type="paragraph" w:styleId="FootnoteText">
    <w:name w:val="footnote text"/>
    <w:basedOn w:val="Normal"/>
    <w:link w:val="FootnoteTextChar"/>
    <w:uiPriority w:val="99"/>
    <w:semiHidden/>
    <w:unhideWhenUsed/>
    <w:rsid w:val="002C130E"/>
    <w:rPr>
      <w:sz w:val="20"/>
      <w:szCs w:val="20"/>
    </w:rPr>
  </w:style>
  <w:style w:type="character" w:customStyle="1" w:styleId="FootnoteTextChar">
    <w:name w:val="Footnote Text Char"/>
    <w:basedOn w:val="DefaultParagraphFont"/>
    <w:link w:val="FootnoteText"/>
    <w:uiPriority w:val="99"/>
    <w:semiHidden/>
    <w:rsid w:val="002C130E"/>
    <w:rPr>
      <w:sz w:val="20"/>
      <w:szCs w:val="20"/>
    </w:rPr>
  </w:style>
  <w:style w:type="character" w:styleId="FootnoteReference">
    <w:name w:val="footnote reference"/>
    <w:basedOn w:val="DefaultParagraphFont"/>
    <w:uiPriority w:val="99"/>
    <w:semiHidden/>
    <w:unhideWhenUsed/>
    <w:rsid w:val="002C130E"/>
    <w:rPr>
      <w:vertAlign w:val="superscript"/>
    </w:rPr>
  </w:style>
  <w:style w:type="paragraph" w:customStyle="1" w:styleId="Default">
    <w:name w:val="Default"/>
    <w:rsid w:val="00C14834"/>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790C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0C9D"/>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806210"/>
    <w:rPr>
      <w:sz w:val="20"/>
      <w:szCs w:val="20"/>
    </w:rPr>
  </w:style>
  <w:style w:type="character" w:customStyle="1" w:styleId="EndnoteTextChar">
    <w:name w:val="Endnote Text Char"/>
    <w:basedOn w:val="DefaultParagraphFont"/>
    <w:link w:val="EndnoteText"/>
    <w:uiPriority w:val="99"/>
    <w:semiHidden/>
    <w:rsid w:val="00806210"/>
    <w:rPr>
      <w:sz w:val="20"/>
      <w:szCs w:val="20"/>
    </w:rPr>
  </w:style>
  <w:style w:type="character" w:styleId="EndnoteReference">
    <w:name w:val="endnote reference"/>
    <w:basedOn w:val="DefaultParagraphFont"/>
    <w:uiPriority w:val="99"/>
    <w:semiHidden/>
    <w:unhideWhenUsed/>
    <w:rsid w:val="00806210"/>
    <w:rPr>
      <w:vertAlign w:val="superscript"/>
    </w:rPr>
  </w:style>
  <w:style w:type="character" w:styleId="Hyperlink">
    <w:name w:val="Hyperlink"/>
    <w:basedOn w:val="DefaultParagraphFont"/>
    <w:uiPriority w:val="99"/>
    <w:unhideWhenUsed/>
    <w:rsid w:val="00B145B1"/>
    <w:rPr>
      <w:color w:val="0563C1" w:themeColor="hyperlink"/>
      <w:u w:val="single"/>
    </w:rPr>
  </w:style>
  <w:style w:type="character" w:styleId="UnresolvedMention">
    <w:name w:val="Unresolved Mention"/>
    <w:basedOn w:val="DefaultParagraphFont"/>
    <w:uiPriority w:val="99"/>
    <w:semiHidden/>
    <w:unhideWhenUsed/>
    <w:rsid w:val="00B145B1"/>
    <w:rPr>
      <w:color w:val="605E5C"/>
      <w:shd w:val="clear" w:color="auto" w:fill="E1DFDD"/>
    </w:rPr>
  </w:style>
  <w:style w:type="character" w:styleId="CommentReference">
    <w:name w:val="annotation reference"/>
    <w:basedOn w:val="DefaultParagraphFont"/>
    <w:uiPriority w:val="99"/>
    <w:semiHidden/>
    <w:unhideWhenUsed/>
    <w:rsid w:val="003275C9"/>
    <w:rPr>
      <w:sz w:val="16"/>
      <w:szCs w:val="16"/>
    </w:rPr>
  </w:style>
  <w:style w:type="paragraph" w:styleId="CommentText">
    <w:name w:val="annotation text"/>
    <w:basedOn w:val="Normal"/>
    <w:link w:val="CommentTextChar"/>
    <w:uiPriority w:val="99"/>
    <w:semiHidden/>
    <w:unhideWhenUsed/>
    <w:rsid w:val="003275C9"/>
    <w:rPr>
      <w:sz w:val="20"/>
      <w:szCs w:val="20"/>
    </w:rPr>
  </w:style>
  <w:style w:type="character" w:customStyle="1" w:styleId="CommentTextChar">
    <w:name w:val="Comment Text Char"/>
    <w:basedOn w:val="DefaultParagraphFont"/>
    <w:link w:val="CommentText"/>
    <w:uiPriority w:val="99"/>
    <w:semiHidden/>
    <w:rsid w:val="003275C9"/>
    <w:rPr>
      <w:sz w:val="20"/>
      <w:szCs w:val="20"/>
    </w:rPr>
  </w:style>
  <w:style w:type="paragraph" w:styleId="CommentSubject">
    <w:name w:val="annotation subject"/>
    <w:basedOn w:val="CommentText"/>
    <w:next w:val="CommentText"/>
    <w:link w:val="CommentSubjectChar"/>
    <w:uiPriority w:val="99"/>
    <w:semiHidden/>
    <w:unhideWhenUsed/>
    <w:rsid w:val="003275C9"/>
    <w:rPr>
      <w:b/>
      <w:bCs/>
    </w:rPr>
  </w:style>
  <w:style w:type="character" w:customStyle="1" w:styleId="CommentSubjectChar">
    <w:name w:val="Comment Subject Char"/>
    <w:basedOn w:val="CommentTextChar"/>
    <w:link w:val="CommentSubject"/>
    <w:uiPriority w:val="99"/>
    <w:semiHidden/>
    <w:rsid w:val="00327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o-ombudsman.org/cases/case_detail.aspx?id=2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o-ombudsman.org/cases/case_detail.aspx?id=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31AAB-F068-264F-9080-877A62E7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Geary</dc:creator>
  <cp:keywords/>
  <dc:description/>
  <cp:lastModifiedBy>Kate Geary</cp:lastModifiedBy>
  <cp:revision>6</cp:revision>
  <dcterms:created xsi:type="dcterms:W3CDTF">2020-06-10T12:54:00Z</dcterms:created>
  <dcterms:modified xsi:type="dcterms:W3CDTF">2020-06-10T13:05:00Z</dcterms:modified>
</cp:coreProperties>
</file>